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37952" w14:textId="75A5D010" w:rsidR="00C61A77" w:rsidRDefault="006A1433" w:rsidP="00C61A77">
      <w:pPr>
        <w:ind w:left="-737" w:firstLine="1097"/>
        <w:rPr>
          <w:rFonts w:cs="Calibri"/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4A0A53" wp14:editId="3A0B7E24">
                <wp:simplePos x="0" y="0"/>
                <wp:positionH relativeFrom="column">
                  <wp:posOffset>1676400</wp:posOffset>
                </wp:positionH>
                <wp:positionV relativeFrom="paragraph">
                  <wp:posOffset>223520</wp:posOffset>
                </wp:positionV>
                <wp:extent cx="2647950" cy="18383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47950" cy="1838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1C5BB" w14:textId="77777777" w:rsidR="002E10CD" w:rsidRDefault="002E10CD" w:rsidP="00C61A77">
                            <w:pPr>
                              <w:rPr>
                                <w:rFonts w:ascii="Arial" w:hAnsi="Arial" w:cs="Arial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14:paraId="006B6D41" w14:textId="77777777" w:rsidR="002E10CD" w:rsidRDefault="002E10CD" w:rsidP="00C61A77">
                            <w:pPr>
                              <w:jc w:val="center"/>
                              <w:rPr>
                                <w:rFonts w:cs="Calibri"/>
                                <w:b/>
                                <w:color w:val="0000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000FF"/>
                                <w:sz w:val="48"/>
                                <w:szCs w:val="48"/>
                              </w:rPr>
                              <w:t>TAXATION DISCIPLINARY BOARD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A0A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2pt;margin-top:17.6pt;width:208.5pt;height:144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isAMwIAAFsEAAAOAAAAZHJzL2Uyb0RvYy54bWysVE2P0zAQvSPxHyzfadJuu9tGTVdLlyKk&#10;5UPahbvjOImF7TG226T8esZOtxSQOCBysDye8Zs3b8ZZ3w5akYNwXoIp6XSSUyIMh1qatqSfn3av&#10;lpT4wEzNFBhR0qPw9Hbz8sW6t4WYQQeqFo4giPFFb0vahWCLLPO8E5r5CVhh0NmA0yyg6dqsdqxH&#10;dK2yWZ5fZz242jrgwns8vR+ddJPwm0bw8LFpvAhElRS5hbS6tFZxzTZrVrSO2U7yEw32Dyw0kwaT&#10;nqHuWWBk7+QfUFpyBx6aMOGgM2gayUWqAauZ5r9V89gxK1ItKI63Z5n8/4PlHw6fHJE19o4SwzS2&#10;6EkMgbyGgUyjOr31BQY9WgwLAx7HyFiptw/Av3piYNsx04o756DvBKuRXbqZXVwdcXwEqfr3UGMa&#10;tg+QgIbGadIoab88Q6MsBPNgv47nHkVSHA9n1/Ob1QJdHH3T5dXyaraIPDNWRKDIzDof3grQJG5K&#10;6nAIUiJ2ePBhDH0OSYWAkvVOKpUM11Zb5ciB4cDs8MvTjCC6vwxThvQlXS0w998h8vSdCP4CoWXA&#10;yVdSl3R5DmJFVPCNqdNcBibVuMf8ymCRUdKo4qhnGKrh1KIK6iOK62CccHyRuOnAfaekx+kuqf+2&#10;Z05Qot4ZbNBqOp/H55CM+eJmhoa79FSXHmY4QpU0UDJut2F8QnvrZNthpnEkDNxhUxuZRI5UR1Yn&#10;3jjBqU2n1xafyKWdon7+EzY/AAAA//8DAFBLAwQUAAYACAAAACEAlixfXeEAAAAKAQAADwAAAGRy&#10;cy9kb3ducmV2LnhtbEyPwU7DMBBE70j8g7VIXFDrJC1pFOJUqEClHgC1IHHdxEsSEdtR7Lbh71lO&#10;cNzZ0cybYj2ZXpxo9J2zCuJ5BIJs7XRnGwXvb0+zDIQPaDX2zpKCb/KwLi8vCsy1O9s9nQ6hERxi&#10;fY4K2hCGXEpft2TQz91Aln+fbjQY+BwbqUc8c7jpZRJFqTTYWW5ocaBNS/XX4WgU+Od4sdnvqmz7&#10;gS/+NdremMcHUur6arq/AxFoCn9m+MVndCiZqXJHq73oFSTpkrcEBYvbBAQb0ixmoWIhWa5AloX8&#10;P6H8AQAA//8DAFBLAQItABQABgAIAAAAIQC2gziS/gAAAOEBAAATAAAAAAAAAAAAAAAAAAAAAABb&#10;Q29udGVudF9UeXBlc10ueG1sUEsBAi0AFAAGAAgAAAAhADj9If/WAAAAlAEAAAsAAAAAAAAAAAAA&#10;AAAALwEAAF9yZWxzLy5yZWxzUEsBAi0AFAAGAAgAAAAhADVOKwAzAgAAWwQAAA4AAAAAAAAAAAAA&#10;AAAALgIAAGRycy9lMm9Eb2MueG1sUEsBAi0AFAAGAAgAAAAhAJYsX13hAAAACgEAAA8AAAAAAAAA&#10;AAAAAAAAjQQAAGRycy9kb3ducmV2LnhtbFBLBQYAAAAABAAEAPMAAACbBQAAAAA=&#10;" fillcolor="yellow">
                <v:textbox>
                  <w:txbxContent>
                    <w:p w14:paraId="50E1C5BB" w14:textId="77777777" w:rsidR="002E10CD" w:rsidRDefault="002E10CD" w:rsidP="00C61A77">
                      <w:pPr>
                        <w:rPr>
                          <w:rFonts w:ascii="Arial" w:hAnsi="Arial" w:cs="Arial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  <w:p w14:paraId="006B6D41" w14:textId="77777777" w:rsidR="002E10CD" w:rsidRDefault="002E10CD" w:rsidP="00C61A77">
                      <w:pPr>
                        <w:jc w:val="center"/>
                        <w:rPr>
                          <w:rFonts w:cs="Calibri"/>
                          <w:b/>
                          <w:color w:val="0000FF"/>
                          <w:sz w:val="48"/>
                          <w:szCs w:val="48"/>
                        </w:rPr>
                      </w:pPr>
                      <w:r>
                        <w:rPr>
                          <w:rFonts w:cs="Calibri"/>
                          <w:b/>
                          <w:color w:val="0000FF"/>
                          <w:sz w:val="48"/>
                          <w:szCs w:val="48"/>
                        </w:rPr>
                        <w:t>TAXATION DISCIPLINARY BOARD</w:t>
                      </w:r>
                    </w:p>
                  </w:txbxContent>
                </v:textbox>
              </v:shape>
            </w:pict>
          </mc:Fallback>
        </mc:AlternateContent>
      </w:r>
    </w:p>
    <w:p w14:paraId="470226A4" w14:textId="77777777" w:rsidR="00C61A77" w:rsidRDefault="00C61A77" w:rsidP="00C61A77">
      <w:pPr>
        <w:ind w:left="-737" w:firstLine="1097"/>
        <w:rPr>
          <w:rFonts w:cs="Calibri"/>
          <w:b/>
          <w:bCs/>
          <w:color w:val="0070C0"/>
          <w:sz w:val="72"/>
          <w:szCs w:val="72"/>
        </w:rPr>
      </w:pPr>
    </w:p>
    <w:p w14:paraId="38913220" w14:textId="77777777" w:rsidR="00C61A77" w:rsidRDefault="00C61A77" w:rsidP="00C61A77">
      <w:pPr>
        <w:ind w:left="-737" w:firstLine="1097"/>
        <w:rPr>
          <w:rFonts w:cs="Calibri"/>
          <w:b/>
          <w:bCs/>
          <w:color w:val="0070C0"/>
          <w:sz w:val="72"/>
          <w:szCs w:val="72"/>
        </w:rPr>
      </w:pPr>
    </w:p>
    <w:p w14:paraId="353CD995" w14:textId="77777777" w:rsidR="00C61A77" w:rsidRDefault="00C61A77" w:rsidP="00C61A77">
      <w:pPr>
        <w:ind w:left="-737" w:firstLine="1097"/>
        <w:rPr>
          <w:rFonts w:cs="Calibri"/>
          <w:b/>
          <w:bCs/>
          <w:color w:val="0070C0"/>
          <w:sz w:val="72"/>
          <w:szCs w:val="72"/>
        </w:rPr>
      </w:pPr>
    </w:p>
    <w:p w14:paraId="7A73E871" w14:textId="77777777" w:rsidR="00C61A77" w:rsidRDefault="00C61A77" w:rsidP="00C61A77">
      <w:pPr>
        <w:ind w:left="-737"/>
        <w:jc w:val="center"/>
        <w:rPr>
          <w:rFonts w:cs="Calibri"/>
          <w:b/>
          <w:bCs/>
          <w:color w:val="0070C0"/>
          <w:sz w:val="72"/>
          <w:szCs w:val="72"/>
        </w:rPr>
      </w:pPr>
      <w:r>
        <w:rPr>
          <w:rFonts w:cs="Calibri"/>
          <w:b/>
          <w:bCs/>
          <w:color w:val="0070C0"/>
          <w:sz w:val="72"/>
          <w:szCs w:val="72"/>
        </w:rPr>
        <w:t>RECORD RETENTION AND DISPOSAL POLICY</w:t>
      </w:r>
    </w:p>
    <w:p w14:paraId="4BA9238C" w14:textId="77777777" w:rsidR="00C61A77" w:rsidRDefault="00C61A77" w:rsidP="00C61A77">
      <w:pPr>
        <w:ind w:left="-737" w:firstLine="1097"/>
        <w:rPr>
          <w:rFonts w:cs="Calibri"/>
          <w:b/>
          <w:bCs/>
          <w:color w:val="0070C0"/>
          <w:sz w:val="24"/>
          <w:szCs w:val="24"/>
        </w:rPr>
      </w:pPr>
    </w:p>
    <w:p w14:paraId="32C58C4D" w14:textId="77777777" w:rsidR="00C61A77" w:rsidRDefault="00C61A77" w:rsidP="00C61A77">
      <w:pPr>
        <w:ind w:left="-737" w:firstLine="1097"/>
        <w:rPr>
          <w:rFonts w:cs="Calibri"/>
          <w:b/>
          <w:bCs/>
          <w:color w:val="0070C0"/>
          <w:szCs w:val="24"/>
        </w:rPr>
      </w:pPr>
    </w:p>
    <w:p w14:paraId="36D2B28B" w14:textId="77777777" w:rsidR="00C61A77" w:rsidRDefault="00C61A77" w:rsidP="00C61A77">
      <w:pPr>
        <w:ind w:left="-737" w:firstLine="1097"/>
        <w:rPr>
          <w:rFonts w:cs="Calibri"/>
          <w:b/>
          <w:bCs/>
          <w:color w:val="0070C0"/>
          <w:szCs w:val="24"/>
        </w:rPr>
      </w:pPr>
    </w:p>
    <w:p w14:paraId="4C184FB8" w14:textId="77777777" w:rsidR="00C61A77" w:rsidRDefault="00C61A77" w:rsidP="00C61A77">
      <w:pPr>
        <w:ind w:left="-737" w:firstLine="1097"/>
        <w:rPr>
          <w:rFonts w:cs="Calibri"/>
          <w:b/>
          <w:bCs/>
          <w:color w:val="0070C0"/>
          <w:szCs w:val="24"/>
        </w:rPr>
      </w:pPr>
    </w:p>
    <w:p w14:paraId="5BB71BC9" w14:textId="752BF02B" w:rsidR="00CA5C3D" w:rsidRDefault="00952A1B" w:rsidP="00C61A77">
      <w:pPr>
        <w:ind w:left="-737" w:firstLine="1097"/>
        <w:jc w:val="right"/>
        <w:rPr>
          <w:rFonts w:cs="Calibri"/>
          <w:b/>
          <w:bCs/>
          <w:color w:val="0070C0"/>
          <w:sz w:val="28"/>
          <w:szCs w:val="28"/>
        </w:rPr>
      </w:pPr>
      <w:r>
        <w:rPr>
          <w:rFonts w:cs="Calibri"/>
          <w:b/>
          <w:bCs/>
          <w:color w:val="0070C0"/>
          <w:sz w:val="28"/>
          <w:szCs w:val="28"/>
        </w:rPr>
        <w:t xml:space="preserve">September </w:t>
      </w:r>
      <w:r w:rsidR="00C61A77">
        <w:rPr>
          <w:rFonts w:cs="Calibri"/>
          <w:b/>
          <w:bCs/>
          <w:color w:val="0070C0"/>
          <w:sz w:val="28"/>
          <w:szCs w:val="28"/>
        </w:rPr>
        <w:t>2020</w:t>
      </w:r>
    </w:p>
    <w:p w14:paraId="7BACD3B9" w14:textId="77777777" w:rsidR="00CA5C3D" w:rsidRDefault="00CA5C3D">
      <w:pPr>
        <w:spacing w:after="0" w:line="240" w:lineRule="auto"/>
        <w:rPr>
          <w:rFonts w:cs="Calibri"/>
          <w:b/>
          <w:bCs/>
          <w:color w:val="0070C0"/>
          <w:sz w:val="28"/>
          <w:szCs w:val="28"/>
        </w:rPr>
      </w:pPr>
      <w:r>
        <w:rPr>
          <w:rFonts w:cs="Calibri"/>
          <w:b/>
          <w:bCs/>
          <w:color w:val="0070C0"/>
          <w:sz w:val="28"/>
          <w:szCs w:val="28"/>
        </w:rPr>
        <w:br w:type="page"/>
      </w:r>
    </w:p>
    <w:p w14:paraId="2B9149BC" w14:textId="77777777" w:rsidR="00C61A77" w:rsidRDefault="00C61A77" w:rsidP="00C61A77">
      <w:pPr>
        <w:ind w:left="-737" w:firstLine="1097"/>
        <w:jc w:val="right"/>
        <w:rPr>
          <w:rFonts w:cs="Calibri"/>
          <w:b/>
          <w:bCs/>
          <w:color w:val="0070C0"/>
          <w:sz w:val="28"/>
          <w:szCs w:val="28"/>
        </w:rPr>
      </w:pPr>
    </w:p>
    <w:p w14:paraId="4419EE6C" w14:textId="31A9934A" w:rsidR="00CA5C3D" w:rsidRDefault="00B14C0D" w:rsidP="00952A1B">
      <w:pPr>
        <w:pStyle w:val="PolicyLevel1"/>
        <w:rPr>
          <w:rFonts w:asciiTheme="minorHAnsi" w:hAnsiTheme="minorHAnsi" w:cstheme="minorHAnsi"/>
        </w:rPr>
      </w:pPr>
      <w:r w:rsidRPr="00463DD3">
        <w:t>Introduction</w:t>
      </w:r>
    </w:p>
    <w:p w14:paraId="33441DF6" w14:textId="6106272E" w:rsidR="00E26BD2" w:rsidRPr="00952A1B" w:rsidRDefault="007D6F74" w:rsidP="00952A1B">
      <w:pPr>
        <w:pStyle w:val="PolicyLevel2"/>
        <w:rPr>
          <w:b/>
          <w:i/>
        </w:rPr>
      </w:pPr>
      <w:r w:rsidRPr="00952A1B">
        <w:t>All records</w:t>
      </w:r>
      <w:r w:rsidR="00903768" w:rsidRPr="00952A1B">
        <w:t xml:space="preserve"> he</w:t>
      </w:r>
      <w:r w:rsidR="00D37A36" w:rsidRPr="00952A1B">
        <w:t>ld by the Taxation Disciplinary Board</w:t>
      </w:r>
      <w:r w:rsidR="00937856" w:rsidRPr="00952A1B">
        <w:t xml:space="preserve"> (</w:t>
      </w:r>
      <w:r w:rsidR="0045383D" w:rsidRPr="00952A1B">
        <w:t>“</w:t>
      </w:r>
      <w:r w:rsidR="00E46EC8" w:rsidRPr="00952A1B">
        <w:t>the TDB</w:t>
      </w:r>
      <w:r w:rsidR="0045383D" w:rsidRPr="00952A1B">
        <w:t>”</w:t>
      </w:r>
      <w:r w:rsidR="00937856" w:rsidRPr="00952A1B">
        <w:t>)</w:t>
      </w:r>
      <w:r w:rsidRPr="00952A1B">
        <w:t xml:space="preserve">, whether </w:t>
      </w:r>
      <w:r w:rsidR="003A6569" w:rsidRPr="00952A1B">
        <w:t xml:space="preserve">paper, </w:t>
      </w:r>
      <w:r w:rsidRPr="00952A1B">
        <w:t>analogue or digital, are subject to the retentio</w:t>
      </w:r>
      <w:r w:rsidR="002147AC" w:rsidRPr="00952A1B">
        <w:t>n requirements of this policy</w:t>
      </w:r>
      <w:r w:rsidRPr="00952A1B">
        <w:t>.</w:t>
      </w:r>
    </w:p>
    <w:p w14:paraId="3E959C4B" w14:textId="5184467D" w:rsidR="00CA5C3D" w:rsidRDefault="009421A6" w:rsidP="00952A1B">
      <w:pPr>
        <w:pStyle w:val="PolicyLevel1"/>
        <w:rPr>
          <w:rFonts w:asciiTheme="minorHAnsi" w:hAnsiTheme="minorHAnsi" w:cstheme="minorHAnsi"/>
        </w:rPr>
      </w:pPr>
      <w:r w:rsidRPr="00463DD3">
        <w:t>Purpose</w:t>
      </w:r>
    </w:p>
    <w:p w14:paraId="24A37AA4" w14:textId="0844DF47" w:rsidR="00CA5C3D" w:rsidRPr="00952A1B" w:rsidRDefault="002147AC" w:rsidP="00952A1B">
      <w:pPr>
        <w:pStyle w:val="PolicyLevel2"/>
        <w:rPr>
          <w:b/>
          <w:i/>
        </w:rPr>
      </w:pPr>
      <w:r w:rsidRPr="00952A1B">
        <w:t>This policy</w:t>
      </w:r>
      <w:r w:rsidR="009421A6" w:rsidRPr="00952A1B">
        <w:t xml:space="preserve"> sets out the key features regarding the management of all records processed by </w:t>
      </w:r>
      <w:r w:rsidR="00E46EC8" w:rsidRPr="00952A1B">
        <w:t>the TDB</w:t>
      </w:r>
      <w:r w:rsidR="009421A6" w:rsidRPr="00952A1B">
        <w:t xml:space="preserve"> regardless of whether they contain personal data as defined by Article 4 of the General Data Protection Regulation (</w:t>
      </w:r>
      <w:r w:rsidR="005C2D51" w:rsidRPr="00952A1B">
        <w:t>“</w:t>
      </w:r>
      <w:r w:rsidR="009421A6" w:rsidRPr="00952A1B">
        <w:t>GDPR</w:t>
      </w:r>
      <w:r w:rsidR="005C2D51" w:rsidRPr="00952A1B">
        <w:t>”</w:t>
      </w:r>
      <w:r w:rsidR="009421A6" w:rsidRPr="00952A1B">
        <w:t>).</w:t>
      </w:r>
    </w:p>
    <w:p w14:paraId="42331567" w14:textId="6C322E62" w:rsidR="00931027" w:rsidRPr="00D23097" w:rsidRDefault="009421A6" w:rsidP="00952A1B">
      <w:pPr>
        <w:pStyle w:val="PolicyLevel2"/>
      </w:pPr>
      <w:r w:rsidRPr="00207617">
        <w:t xml:space="preserve">This </w:t>
      </w:r>
      <w:r w:rsidR="002147AC" w:rsidRPr="00207617">
        <w:t>policy</w:t>
      </w:r>
      <w:r w:rsidRPr="00207617">
        <w:t xml:space="preserve"> enable</w:t>
      </w:r>
      <w:r w:rsidR="003A6569" w:rsidRPr="00207617">
        <w:t>s</w:t>
      </w:r>
      <w:r w:rsidRPr="00207617">
        <w:t xml:space="preserve"> </w:t>
      </w:r>
      <w:r w:rsidR="00E46EC8" w:rsidRPr="00463DD3">
        <w:t>the TDB</w:t>
      </w:r>
      <w:r w:rsidRPr="00463DD3">
        <w:t xml:space="preserve"> to comply with its legal obligations</w:t>
      </w:r>
      <w:r w:rsidR="00057251" w:rsidRPr="00463DD3">
        <w:t xml:space="preserve"> under the GDPR</w:t>
      </w:r>
      <w:r w:rsidR="003A6569" w:rsidRPr="00463DD3">
        <w:t xml:space="preserve">, to </w:t>
      </w:r>
      <w:r w:rsidRPr="002B02AE">
        <w:t xml:space="preserve">improve transparency and </w:t>
      </w:r>
      <w:r w:rsidR="003A6569" w:rsidRPr="00D23097">
        <w:t xml:space="preserve">to allow </w:t>
      </w:r>
      <w:r w:rsidRPr="00D23097">
        <w:t xml:space="preserve">individuals to verify </w:t>
      </w:r>
      <w:r w:rsidR="00057251" w:rsidRPr="00D23097">
        <w:t xml:space="preserve">that </w:t>
      </w:r>
      <w:r w:rsidR="003A6569" w:rsidRPr="00D23097">
        <w:t xml:space="preserve">their </w:t>
      </w:r>
      <w:r w:rsidR="00057251" w:rsidRPr="00D23097">
        <w:t xml:space="preserve">personal data is </w:t>
      </w:r>
      <w:r w:rsidR="003A6569" w:rsidRPr="00D23097">
        <w:t>retained by the TDB only for the period in which there is</w:t>
      </w:r>
      <w:r w:rsidR="00057251" w:rsidRPr="00D23097">
        <w:t xml:space="preserve"> a legitimate purpose for doing so</w:t>
      </w:r>
      <w:r w:rsidRPr="00D23097">
        <w:t>.</w:t>
      </w:r>
    </w:p>
    <w:p w14:paraId="5427484D" w14:textId="77777777" w:rsidR="009421A6" w:rsidRPr="0092097A" w:rsidRDefault="009421A6" w:rsidP="00952A1B">
      <w:pPr>
        <w:pStyle w:val="PolicyLevel2"/>
      </w:pPr>
      <w:r w:rsidRPr="0092097A">
        <w:t xml:space="preserve">Adherence to the </w:t>
      </w:r>
      <w:r w:rsidR="002147AC" w:rsidRPr="0092097A">
        <w:t>policy</w:t>
      </w:r>
      <w:r w:rsidRPr="0092097A">
        <w:t xml:space="preserve"> increase</w:t>
      </w:r>
      <w:r w:rsidR="003A6569" w:rsidRPr="0092097A">
        <w:t>s</w:t>
      </w:r>
      <w:r w:rsidRPr="0092097A">
        <w:t xml:space="preserve"> the level of trust </w:t>
      </w:r>
      <w:r w:rsidR="00057251" w:rsidRPr="0092097A">
        <w:t xml:space="preserve">between data subjects and </w:t>
      </w:r>
      <w:r w:rsidR="00E46EC8" w:rsidRPr="0092097A">
        <w:t>the TDB</w:t>
      </w:r>
      <w:r w:rsidR="00057251" w:rsidRPr="0092097A">
        <w:t xml:space="preserve"> and allow</w:t>
      </w:r>
      <w:r w:rsidR="003A6569" w:rsidRPr="0092097A">
        <w:t>s</w:t>
      </w:r>
      <w:r w:rsidR="00057251" w:rsidRPr="0092097A">
        <w:t xml:space="preserve"> data subjects to </w:t>
      </w:r>
      <w:r w:rsidRPr="0092097A">
        <w:t>exercise their data subject rights as defined in Chapter 3 of the GDPR</w:t>
      </w:r>
      <w:r w:rsidR="00057251" w:rsidRPr="0092097A">
        <w:t xml:space="preserve"> </w:t>
      </w:r>
      <w:r w:rsidR="003A6569" w:rsidRPr="0092097A">
        <w:t>in respect of</w:t>
      </w:r>
      <w:r w:rsidR="00057251" w:rsidRPr="0092097A">
        <w:t xml:space="preserve"> responding to data subject access requests (</w:t>
      </w:r>
      <w:r w:rsidR="005C2D51">
        <w:t>“</w:t>
      </w:r>
      <w:r w:rsidR="00057251" w:rsidRPr="0092097A">
        <w:t>DSAR</w:t>
      </w:r>
      <w:r w:rsidR="005C2D51">
        <w:t>”</w:t>
      </w:r>
      <w:r w:rsidR="00057251" w:rsidRPr="0092097A">
        <w:t>)</w:t>
      </w:r>
      <w:r w:rsidRPr="0092097A">
        <w:t>.</w:t>
      </w:r>
    </w:p>
    <w:p w14:paraId="020DA7C4" w14:textId="77777777" w:rsidR="009421A6" w:rsidRPr="0092097A" w:rsidRDefault="002A0182" w:rsidP="00952A1B">
      <w:pPr>
        <w:pStyle w:val="PolicyLevel1"/>
        <w:rPr>
          <w:rFonts w:eastAsiaTheme="minorHAnsi"/>
          <w:lang w:val="en-US" w:eastAsia="en-US"/>
        </w:rPr>
      </w:pPr>
      <w:r w:rsidRPr="0092097A">
        <w:t>Applicability</w:t>
      </w:r>
    </w:p>
    <w:p w14:paraId="60E9ABFE" w14:textId="77777777" w:rsidR="009421A6" w:rsidRPr="0092097A" w:rsidRDefault="009421A6" w:rsidP="00952A1B">
      <w:pPr>
        <w:pStyle w:val="PolicyLevel2"/>
      </w:pPr>
      <w:r w:rsidRPr="0092097A">
        <w:t xml:space="preserve">This </w:t>
      </w:r>
      <w:r w:rsidR="002147AC" w:rsidRPr="0092097A">
        <w:t>policy</w:t>
      </w:r>
      <w:r w:rsidRPr="0092097A">
        <w:t xml:space="preserve"> applies to </w:t>
      </w:r>
      <w:r w:rsidR="003A6569" w:rsidRPr="0092097A">
        <w:t xml:space="preserve">the Board, Directors, staff, panel members, </w:t>
      </w:r>
      <w:proofErr w:type="gramStart"/>
      <w:r w:rsidR="003A6569" w:rsidRPr="0092097A">
        <w:t>consultants</w:t>
      </w:r>
      <w:proofErr w:type="gramEnd"/>
      <w:r w:rsidR="003A6569" w:rsidRPr="0092097A">
        <w:t xml:space="preserve"> and contractors (“members”) of the TDB who</w:t>
      </w:r>
      <w:r w:rsidR="00057251" w:rsidRPr="0092097A">
        <w:t xml:space="preserve"> have a </w:t>
      </w:r>
      <w:r w:rsidR="002A0182" w:rsidRPr="0092097A">
        <w:t>responsibility</w:t>
      </w:r>
      <w:r w:rsidR="00057251" w:rsidRPr="0092097A">
        <w:t xml:space="preserve"> for managing records</w:t>
      </w:r>
      <w:r w:rsidR="002A0182" w:rsidRPr="0092097A">
        <w:t>:</w:t>
      </w:r>
    </w:p>
    <w:p w14:paraId="7F782C67" w14:textId="77777777" w:rsidR="003A6569" w:rsidRPr="0092097A" w:rsidRDefault="007D6F74" w:rsidP="00952A1B">
      <w:pPr>
        <w:pStyle w:val="PolicyLevel2bullet"/>
      </w:pPr>
      <w:r w:rsidRPr="0092097A">
        <w:t xml:space="preserve">The </w:t>
      </w:r>
      <w:r w:rsidR="003A6569" w:rsidRPr="0092097A">
        <w:t>Executive Director</w:t>
      </w:r>
      <w:r w:rsidRPr="0092097A">
        <w:t xml:space="preserve"> is responsible for</w:t>
      </w:r>
      <w:r w:rsidR="003A6569" w:rsidRPr="0092097A">
        <w:t xml:space="preserve"> the retention of all records relating to the TDB:</w:t>
      </w:r>
    </w:p>
    <w:p w14:paraId="404C694C" w14:textId="77777777" w:rsidR="00E26BD2" w:rsidRPr="0092097A" w:rsidRDefault="005700B0" w:rsidP="00952A1B">
      <w:pPr>
        <w:pStyle w:val="PolicyLevel2bullet"/>
      </w:pPr>
      <w:r w:rsidRPr="0092097A">
        <w:t xml:space="preserve">The Data Protection </w:t>
      </w:r>
      <w:r w:rsidR="003A6569" w:rsidRPr="0092097A">
        <w:t xml:space="preserve">Officer </w:t>
      </w:r>
      <w:r w:rsidRPr="0092097A">
        <w:t>(</w:t>
      </w:r>
      <w:r w:rsidR="005C2D51">
        <w:t>“</w:t>
      </w:r>
      <w:r w:rsidRPr="0092097A">
        <w:t>DP</w:t>
      </w:r>
      <w:r w:rsidR="003A6569" w:rsidRPr="0092097A">
        <w:t>O</w:t>
      </w:r>
      <w:r w:rsidR="005C2D51">
        <w:t>”</w:t>
      </w:r>
      <w:r w:rsidRPr="0092097A">
        <w:t>) has oversight of all records that contain personal data as defined by the GDPR.</w:t>
      </w:r>
    </w:p>
    <w:p w14:paraId="4E706871" w14:textId="77777777" w:rsidR="007D6F74" w:rsidRPr="0092097A" w:rsidRDefault="002147AC" w:rsidP="00952A1B">
      <w:pPr>
        <w:pStyle w:val="PolicyLevel1"/>
      </w:pPr>
      <w:r w:rsidRPr="0092097A">
        <w:t>Policy</w:t>
      </w:r>
    </w:p>
    <w:p w14:paraId="49639D1A" w14:textId="122AEACC" w:rsidR="00DF3383" w:rsidRPr="0092097A" w:rsidRDefault="007D6F74" w:rsidP="00952A1B">
      <w:pPr>
        <w:pStyle w:val="PolicyLevel2"/>
      </w:pPr>
      <w:r w:rsidRPr="0092097A">
        <w:t xml:space="preserve">The required </w:t>
      </w:r>
      <w:r w:rsidR="000517E9" w:rsidRPr="0092097A">
        <w:t xml:space="preserve">review, </w:t>
      </w:r>
      <w:proofErr w:type="gramStart"/>
      <w:r w:rsidRPr="0092097A">
        <w:t>retention</w:t>
      </w:r>
      <w:proofErr w:type="gramEnd"/>
      <w:r w:rsidRPr="0092097A">
        <w:t xml:space="preserve"> </w:t>
      </w:r>
      <w:r w:rsidR="000517E9" w:rsidRPr="0092097A">
        <w:t xml:space="preserve">and disposal </w:t>
      </w:r>
      <w:r w:rsidRPr="0092097A">
        <w:t xml:space="preserve">periods, by record type, are </w:t>
      </w:r>
      <w:r w:rsidR="002F1585" w:rsidRPr="0092097A">
        <w:t xml:space="preserve">in the table </w:t>
      </w:r>
      <w:r w:rsidRPr="0092097A">
        <w:t>below</w:t>
      </w:r>
      <w:r w:rsidR="002F1585" w:rsidRPr="0092097A">
        <w:t xml:space="preserve"> for </w:t>
      </w:r>
      <w:r w:rsidR="00DC04C3" w:rsidRPr="0092097A">
        <w:t>primary</w:t>
      </w:r>
      <w:r w:rsidR="002F1585" w:rsidRPr="0092097A">
        <w:t xml:space="preserve"> record types. Detailed and definitive information in respect to </w:t>
      </w:r>
      <w:r w:rsidR="00937856" w:rsidRPr="0092097A">
        <w:t>c</w:t>
      </w:r>
      <w:r w:rsidR="002F1585" w:rsidRPr="0092097A">
        <w:t xml:space="preserve">ustomer, </w:t>
      </w:r>
      <w:r w:rsidR="00937856" w:rsidRPr="0092097A">
        <w:t>e</w:t>
      </w:r>
      <w:r w:rsidR="002F1585" w:rsidRPr="0092097A">
        <w:t xml:space="preserve">mployee and </w:t>
      </w:r>
      <w:r w:rsidR="00937856" w:rsidRPr="0092097A">
        <w:t>s</w:t>
      </w:r>
      <w:r w:rsidR="002F1585" w:rsidRPr="0092097A">
        <w:t xml:space="preserve">upplier records can be found </w:t>
      </w:r>
      <w:r w:rsidR="00E26BD2" w:rsidRPr="0092097A">
        <w:t xml:space="preserve">in the </w:t>
      </w:r>
      <w:r w:rsidR="005C2D51">
        <w:t>Record</w:t>
      </w:r>
      <w:r w:rsidR="00E26BD2" w:rsidRPr="0092097A">
        <w:t xml:space="preserve"> Retention </w:t>
      </w:r>
      <w:r w:rsidR="006D3F2D" w:rsidRPr="0092097A">
        <w:t xml:space="preserve">&amp; Disposal </w:t>
      </w:r>
      <w:r w:rsidR="00E26BD2" w:rsidRPr="0092097A">
        <w:t xml:space="preserve">Schedule </w:t>
      </w:r>
      <w:r w:rsidR="003A6569" w:rsidRPr="0092097A">
        <w:t xml:space="preserve">(RR&amp;D Schedule) </w:t>
      </w:r>
      <w:r w:rsidR="00E26BD2" w:rsidRPr="0092097A">
        <w:t xml:space="preserve">at </w:t>
      </w:r>
      <w:r w:rsidR="00F65651" w:rsidRPr="00952A1B">
        <w:rPr>
          <w:i/>
          <w:iCs/>
          <w:u w:val="single"/>
        </w:rPr>
        <w:t>Appendix 1</w:t>
      </w:r>
      <w:r w:rsidR="00E26BD2" w:rsidRPr="0092097A">
        <w:t>.</w:t>
      </w:r>
    </w:p>
    <w:p w14:paraId="0D8ED76C" w14:textId="77777777" w:rsidR="007D6F74" w:rsidRPr="0092097A" w:rsidRDefault="007D6F74" w:rsidP="00952A1B">
      <w:pPr>
        <w:pStyle w:val="PolicyLevel2"/>
      </w:pPr>
      <w:r w:rsidRPr="0092097A">
        <w:t>Paper records</w:t>
      </w:r>
      <w:r w:rsidR="003A6569" w:rsidRPr="0092097A">
        <w:t>,</w:t>
      </w:r>
      <w:r w:rsidRPr="0092097A">
        <w:t xml:space="preserve"> when no longer required in the office</w:t>
      </w:r>
      <w:r w:rsidR="003A6569" w:rsidRPr="0092097A">
        <w:t>,</w:t>
      </w:r>
      <w:r w:rsidRPr="0092097A">
        <w:t xml:space="preserve"> are stored in archival storage boxes that are marked with the types and dates of the records, and any special information.</w:t>
      </w:r>
    </w:p>
    <w:p w14:paraId="3BEB1011" w14:textId="77777777" w:rsidR="007D6F74" w:rsidRPr="0092097A" w:rsidRDefault="007D6F74" w:rsidP="00952A1B">
      <w:pPr>
        <w:pStyle w:val="PolicyLevel2"/>
      </w:pPr>
      <w:r w:rsidRPr="0092097A">
        <w:t xml:space="preserve">Electronic records are retained for at least the period identified </w:t>
      </w:r>
      <w:r w:rsidR="006D3F2D" w:rsidRPr="0092097A">
        <w:t>in the RR</w:t>
      </w:r>
      <w:r w:rsidR="000517E9" w:rsidRPr="0092097A">
        <w:t>&amp;</w:t>
      </w:r>
      <w:r w:rsidR="006D3F2D" w:rsidRPr="0092097A">
        <w:t xml:space="preserve">D Schedule </w:t>
      </w:r>
      <w:r w:rsidR="006921D8" w:rsidRPr="0092097A">
        <w:t>and</w:t>
      </w:r>
      <w:r w:rsidRPr="0092097A">
        <w:t xml:space="preserve"> are stored </w:t>
      </w:r>
      <w:r w:rsidR="003A6569" w:rsidRPr="0092097A">
        <w:t xml:space="preserve">where relevant </w:t>
      </w:r>
      <w:r w:rsidR="0009402E" w:rsidRPr="0092097A">
        <w:t>on the TDB’s IT cloud facility</w:t>
      </w:r>
      <w:r w:rsidRPr="0092097A">
        <w:t>.</w:t>
      </w:r>
    </w:p>
    <w:p w14:paraId="43D4411B" w14:textId="77777777" w:rsidR="007D6F74" w:rsidRPr="0092097A" w:rsidRDefault="007D6F74" w:rsidP="00952A1B">
      <w:pPr>
        <w:pStyle w:val="PolicyLevel2"/>
      </w:pPr>
      <w:r w:rsidRPr="0092097A">
        <w:t xml:space="preserve">For all electronic storage media, </w:t>
      </w:r>
      <w:r w:rsidR="00E46EC8" w:rsidRPr="0092097A">
        <w:t>the TDB</w:t>
      </w:r>
      <w:r w:rsidR="000517E9" w:rsidRPr="0092097A">
        <w:t xml:space="preserve"> </w:t>
      </w:r>
      <w:r w:rsidRPr="0092097A">
        <w:t>retains the means to access the information contained therein.</w:t>
      </w:r>
    </w:p>
    <w:p w14:paraId="40D275FC" w14:textId="77777777" w:rsidR="0073398C" w:rsidRDefault="007D6F74" w:rsidP="00952A1B">
      <w:pPr>
        <w:pStyle w:val="PolicyLevel2"/>
      </w:pPr>
      <w:r w:rsidRPr="0092097A">
        <w:t xml:space="preserve">The </w:t>
      </w:r>
      <w:r w:rsidR="0009402E" w:rsidRPr="0092097A">
        <w:t>Executive Director</w:t>
      </w:r>
      <w:r w:rsidRPr="0092097A">
        <w:t xml:space="preserve"> is responsible for destroying data once it has reached the end of the period specified i</w:t>
      </w:r>
      <w:r w:rsidR="006D3F2D" w:rsidRPr="0092097A">
        <w:t>n the RR</w:t>
      </w:r>
      <w:r w:rsidR="000517E9" w:rsidRPr="0092097A">
        <w:t>&amp;</w:t>
      </w:r>
      <w:r w:rsidR="006D3F2D" w:rsidRPr="0092097A">
        <w:t>D Schedule</w:t>
      </w:r>
      <w:r w:rsidRPr="0092097A">
        <w:t>. Electronic data is removed from backup media as part of this process. Destruction must be completed within 90 days of the planned retention period.</w:t>
      </w:r>
    </w:p>
    <w:p w14:paraId="650521D5" w14:textId="137E45CA" w:rsidR="00C9026E" w:rsidRPr="0092097A" w:rsidRDefault="00AC35F1" w:rsidP="00952A1B">
      <w:pPr>
        <w:pStyle w:val="PolicyLevel2"/>
      </w:pPr>
      <w:r>
        <w:t>Disposal of data will be carried out in accordance with the Secure Disposal Policy.</w:t>
      </w:r>
      <w:r w:rsidR="00156474" w:rsidRPr="0092097A">
        <w:t xml:space="preserve"> </w:t>
      </w:r>
    </w:p>
    <w:p w14:paraId="10EFC7B1" w14:textId="77777777" w:rsidR="006D3F2D" w:rsidRPr="0092097A" w:rsidRDefault="006D3F2D" w:rsidP="00952A1B">
      <w:pPr>
        <w:pStyle w:val="PolicyLevel1"/>
      </w:pPr>
      <w:r w:rsidRPr="0092097A">
        <w:lastRenderedPageBreak/>
        <w:t>Mailboxes</w:t>
      </w:r>
    </w:p>
    <w:p w14:paraId="59CC8693" w14:textId="77777777" w:rsidR="006D3F2D" w:rsidRPr="0092097A" w:rsidRDefault="00A000EF" w:rsidP="00952A1B">
      <w:pPr>
        <w:pStyle w:val="PolicyLevel2"/>
      </w:pPr>
      <w:r w:rsidRPr="0092097A">
        <w:t xml:space="preserve">Storage of </w:t>
      </w:r>
      <w:r w:rsidR="00EB4A27" w:rsidRPr="0092097A">
        <w:t xml:space="preserve">records </w:t>
      </w:r>
      <w:r w:rsidRPr="0092097A">
        <w:t>exclusively in user mailboxes is not permitted.  Information received in this way should be copied or moved on receipt to the appropriate location.</w:t>
      </w:r>
      <w:r w:rsidR="00156474" w:rsidRPr="0092097A">
        <w:t xml:space="preserve"> </w:t>
      </w:r>
    </w:p>
    <w:p w14:paraId="165394DD" w14:textId="77777777" w:rsidR="00A000EF" w:rsidRPr="0092097A" w:rsidRDefault="00A000EF" w:rsidP="00952A1B">
      <w:pPr>
        <w:pStyle w:val="PolicyLevel2"/>
      </w:pPr>
      <w:r w:rsidRPr="0092097A">
        <w:t xml:space="preserve">Leavers’ mailboxes are retained for six months after the final date of employment, during which time </w:t>
      </w:r>
      <w:r w:rsidR="0009402E" w:rsidRPr="0092097A">
        <w:t>the Executive Director is</w:t>
      </w:r>
      <w:r w:rsidRPr="0092097A">
        <w:t xml:space="preserve"> given full access to retrieve information to be retained.  The mailbox is deleted </w:t>
      </w:r>
      <w:r w:rsidR="0009402E" w:rsidRPr="0092097A">
        <w:t xml:space="preserve">permanently </w:t>
      </w:r>
      <w:r w:rsidRPr="0092097A">
        <w:t>after this time.</w:t>
      </w:r>
    </w:p>
    <w:p w14:paraId="1F82A580" w14:textId="77777777" w:rsidR="00976916" w:rsidRPr="0092097A" w:rsidRDefault="00976916" w:rsidP="0092097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213D05A" w14:textId="77777777" w:rsidR="00976916" w:rsidRPr="0092097A" w:rsidRDefault="00976916" w:rsidP="0092097A">
      <w:pPr>
        <w:jc w:val="both"/>
        <w:rPr>
          <w:rFonts w:asciiTheme="minorHAnsi" w:hAnsiTheme="minorHAnsi" w:cstheme="minorHAnsi"/>
          <w:sz w:val="24"/>
          <w:szCs w:val="24"/>
        </w:rPr>
        <w:sectPr w:rsidR="00976916" w:rsidRPr="0092097A" w:rsidSect="00952A1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  <w:bookmarkStart w:id="0" w:name="_Appendix_1_–"/>
      <w:bookmarkEnd w:id="0"/>
    </w:p>
    <w:p w14:paraId="7D2CF704" w14:textId="77777777" w:rsidR="00167FF1" w:rsidRPr="00167FF1" w:rsidRDefault="004B5F4C" w:rsidP="00167FF1">
      <w:pPr>
        <w:pStyle w:val="Heading1"/>
        <w:numPr>
          <w:ilvl w:val="0"/>
          <w:numId w:val="0"/>
        </w:numPr>
        <w:spacing w:before="240" w:after="120"/>
        <w:ind w:left="431" w:hanging="431"/>
        <w:jc w:val="both"/>
        <w:rPr>
          <w:rFonts w:asciiTheme="minorHAnsi" w:hAnsiTheme="minorHAnsi" w:cstheme="minorHAnsi"/>
          <w:sz w:val="24"/>
          <w:szCs w:val="24"/>
        </w:rPr>
      </w:pPr>
      <w:bookmarkStart w:id="1" w:name="_Appendix_1_–_1"/>
      <w:bookmarkEnd w:id="1"/>
      <w:r w:rsidRPr="0092097A">
        <w:rPr>
          <w:rFonts w:asciiTheme="minorHAnsi" w:hAnsiTheme="minorHAnsi" w:cstheme="minorHAnsi"/>
          <w:sz w:val="24"/>
          <w:szCs w:val="24"/>
        </w:rPr>
        <w:lastRenderedPageBreak/>
        <w:t>Appendix 1 – R</w:t>
      </w:r>
      <w:r w:rsidR="00F65651">
        <w:rPr>
          <w:rFonts w:asciiTheme="minorHAnsi" w:hAnsiTheme="minorHAnsi" w:cstheme="minorHAnsi"/>
          <w:sz w:val="24"/>
          <w:szCs w:val="24"/>
        </w:rPr>
        <w:t>ecord</w:t>
      </w:r>
      <w:r w:rsidRPr="0092097A">
        <w:rPr>
          <w:rFonts w:asciiTheme="minorHAnsi" w:hAnsiTheme="minorHAnsi" w:cstheme="minorHAnsi"/>
          <w:sz w:val="24"/>
          <w:szCs w:val="24"/>
        </w:rPr>
        <w:t xml:space="preserve"> Retention &amp; Disposal Schedule</w:t>
      </w:r>
    </w:p>
    <w:tbl>
      <w:tblPr>
        <w:tblStyle w:val="TableGrid"/>
        <w:tblW w:w="13792" w:type="dxa"/>
        <w:tblLayout w:type="fixed"/>
        <w:tblLook w:val="04A0" w:firstRow="1" w:lastRow="0" w:firstColumn="1" w:lastColumn="0" w:noHBand="0" w:noVBand="1"/>
      </w:tblPr>
      <w:tblGrid>
        <w:gridCol w:w="924"/>
        <w:gridCol w:w="1452"/>
        <w:gridCol w:w="1701"/>
        <w:gridCol w:w="1844"/>
        <w:gridCol w:w="2551"/>
        <w:gridCol w:w="2409"/>
        <w:gridCol w:w="2911"/>
      </w:tblGrid>
      <w:tr w:rsidR="004F04B4" w:rsidRPr="0092097A" w14:paraId="7C69210D" w14:textId="77777777" w:rsidTr="00952A1B">
        <w:trPr>
          <w:tblHeader/>
        </w:trPr>
        <w:tc>
          <w:tcPr>
            <w:tcW w:w="924" w:type="dxa"/>
            <w:shd w:val="clear" w:color="auto" w:fill="95B3D7" w:themeFill="accent1" w:themeFillTint="99"/>
            <w:vAlign w:val="center"/>
          </w:tcPr>
          <w:p w14:paraId="410D4B11" w14:textId="77777777" w:rsidR="004F04B4" w:rsidRPr="0092097A" w:rsidRDefault="004F04B4" w:rsidP="0092097A">
            <w:pPr>
              <w:spacing w:after="100" w:afterAutospacing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b/>
                <w:sz w:val="24"/>
                <w:szCs w:val="24"/>
              </w:rPr>
              <w:t>Serial</w:t>
            </w:r>
          </w:p>
        </w:tc>
        <w:tc>
          <w:tcPr>
            <w:tcW w:w="1452" w:type="dxa"/>
            <w:shd w:val="clear" w:color="auto" w:fill="95B3D7" w:themeFill="accent1" w:themeFillTint="99"/>
            <w:vAlign w:val="center"/>
          </w:tcPr>
          <w:p w14:paraId="36059355" w14:textId="77777777" w:rsidR="004F04B4" w:rsidRPr="0092097A" w:rsidRDefault="004F04B4" w:rsidP="0092097A">
            <w:pPr>
              <w:spacing w:after="100" w:afterAutospacing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b/>
                <w:sz w:val="24"/>
                <w:szCs w:val="24"/>
              </w:rPr>
              <w:t>Business Area</w:t>
            </w:r>
          </w:p>
        </w:tc>
        <w:tc>
          <w:tcPr>
            <w:tcW w:w="1701" w:type="dxa"/>
            <w:shd w:val="clear" w:color="auto" w:fill="95B3D7" w:themeFill="accent1" w:themeFillTint="99"/>
            <w:vAlign w:val="center"/>
          </w:tcPr>
          <w:p w14:paraId="0EF1FAA6" w14:textId="77777777" w:rsidR="004F04B4" w:rsidRPr="0092097A" w:rsidRDefault="004F04B4" w:rsidP="0092097A">
            <w:pPr>
              <w:spacing w:after="100" w:afterAutospacing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b/>
                <w:sz w:val="24"/>
                <w:szCs w:val="24"/>
              </w:rPr>
              <w:t>Information Asset Owner</w:t>
            </w:r>
          </w:p>
        </w:tc>
        <w:tc>
          <w:tcPr>
            <w:tcW w:w="1844" w:type="dxa"/>
            <w:shd w:val="clear" w:color="auto" w:fill="95B3D7" w:themeFill="accent1" w:themeFillTint="99"/>
            <w:vAlign w:val="center"/>
          </w:tcPr>
          <w:p w14:paraId="742972D1" w14:textId="77777777" w:rsidR="004F04B4" w:rsidRPr="0092097A" w:rsidRDefault="004F04B4" w:rsidP="00952A1B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b/>
                <w:sz w:val="24"/>
                <w:szCs w:val="24"/>
              </w:rPr>
              <w:t>Record Name/Activity</w:t>
            </w:r>
          </w:p>
        </w:tc>
        <w:tc>
          <w:tcPr>
            <w:tcW w:w="2551" w:type="dxa"/>
            <w:shd w:val="clear" w:color="auto" w:fill="95B3D7" w:themeFill="accent1" w:themeFillTint="99"/>
            <w:vAlign w:val="center"/>
          </w:tcPr>
          <w:p w14:paraId="7526A4D3" w14:textId="77777777" w:rsidR="004F04B4" w:rsidRPr="0092097A" w:rsidRDefault="004F04B4" w:rsidP="00952A1B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b/>
                <w:sz w:val="24"/>
                <w:szCs w:val="24"/>
              </w:rPr>
              <w:t>Description</w:t>
            </w:r>
          </w:p>
        </w:tc>
        <w:tc>
          <w:tcPr>
            <w:tcW w:w="2409" w:type="dxa"/>
            <w:shd w:val="clear" w:color="auto" w:fill="95B3D7" w:themeFill="accent1" w:themeFillTint="99"/>
            <w:vAlign w:val="center"/>
          </w:tcPr>
          <w:p w14:paraId="668E17E1" w14:textId="77777777" w:rsidR="004F04B4" w:rsidRPr="0092097A" w:rsidRDefault="004F04B4" w:rsidP="00952A1B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b/>
                <w:sz w:val="24"/>
                <w:szCs w:val="24"/>
              </w:rPr>
              <w:t>Minimum Retention Period</w:t>
            </w:r>
            <w:r w:rsidR="00291BF4" w:rsidRPr="0092097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607FFD" w:rsidRPr="0092097A">
              <w:rPr>
                <w:rFonts w:asciiTheme="minorHAnsi" w:hAnsiTheme="minorHAnsi" w:cstheme="minorHAnsi"/>
                <w:b/>
                <w:sz w:val="24"/>
                <w:szCs w:val="24"/>
              </w:rPr>
              <w:t>(as</w:t>
            </w:r>
            <w:r w:rsidR="00291BF4" w:rsidRPr="0092097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required by law</w:t>
            </w:r>
            <w:r w:rsidR="00607FFD" w:rsidRPr="0092097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or best practice</w:t>
            </w:r>
            <w:r w:rsidR="00291BF4" w:rsidRPr="0092097A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911" w:type="dxa"/>
            <w:shd w:val="clear" w:color="auto" w:fill="95B3D7" w:themeFill="accent1" w:themeFillTint="99"/>
            <w:vAlign w:val="center"/>
          </w:tcPr>
          <w:p w14:paraId="7436FBDC" w14:textId="77777777" w:rsidR="004F04B4" w:rsidRPr="0092097A" w:rsidRDefault="004F04B4" w:rsidP="00952A1B">
            <w:pPr>
              <w:spacing w:after="100" w:afterAutospacing="1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b/>
                <w:sz w:val="24"/>
                <w:szCs w:val="24"/>
              </w:rPr>
              <w:t>Rationale</w:t>
            </w:r>
          </w:p>
        </w:tc>
      </w:tr>
      <w:tr w:rsidR="004F04B4" w:rsidRPr="0092097A" w14:paraId="3E6B1421" w14:textId="77777777" w:rsidTr="00952A1B">
        <w:trPr>
          <w:trHeight w:val="227"/>
          <w:tblHeader/>
        </w:trPr>
        <w:tc>
          <w:tcPr>
            <w:tcW w:w="924" w:type="dxa"/>
            <w:shd w:val="clear" w:color="auto" w:fill="95B3D7" w:themeFill="accent1" w:themeFillTint="99"/>
            <w:vAlign w:val="center"/>
          </w:tcPr>
          <w:p w14:paraId="6825F2EC" w14:textId="77777777" w:rsidR="004F04B4" w:rsidRPr="0092097A" w:rsidRDefault="004F04B4" w:rsidP="0092097A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b/>
                <w:sz w:val="24"/>
                <w:szCs w:val="24"/>
              </w:rPr>
              <w:t>(a)</w:t>
            </w:r>
          </w:p>
        </w:tc>
        <w:tc>
          <w:tcPr>
            <w:tcW w:w="1452" w:type="dxa"/>
            <w:shd w:val="clear" w:color="auto" w:fill="95B3D7" w:themeFill="accent1" w:themeFillTint="99"/>
            <w:vAlign w:val="center"/>
          </w:tcPr>
          <w:p w14:paraId="12E523AD" w14:textId="77777777" w:rsidR="004F04B4" w:rsidRPr="0092097A" w:rsidRDefault="004F04B4" w:rsidP="0092097A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b/>
                <w:sz w:val="24"/>
                <w:szCs w:val="24"/>
              </w:rPr>
              <w:t>(b)</w:t>
            </w:r>
          </w:p>
        </w:tc>
        <w:tc>
          <w:tcPr>
            <w:tcW w:w="1701" w:type="dxa"/>
            <w:shd w:val="clear" w:color="auto" w:fill="95B3D7" w:themeFill="accent1" w:themeFillTint="99"/>
            <w:vAlign w:val="center"/>
          </w:tcPr>
          <w:p w14:paraId="7B965273" w14:textId="77777777" w:rsidR="004F04B4" w:rsidRPr="0092097A" w:rsidRDefault="004F04B4" w:rsidP="0092097A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="00473F5E" w:rsidRPr="0092097A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Pr="0092097A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844" w:type="dxa"/>
            <w:shd w:val="clear" w:color="auto" w:fill="95B3D7" w:themeFill="accent1" w:themeFillTint="99"/>
            <w:vAlign w:val="center"/>
          </w:tcPr>
          <w:p w14:paraId="50E6053B" w14:textId="77777777" w:rsidR="004F04B4" w:rsidRPr="0092097A" w:rsidRDefault="00473F5E" w:rsidP="00952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b/>
                <w:sz w:val="24"/>
                <w:szCs w:val="24"/>
              </w:rPr>
              <w:t>(d</w:t>
            </w:r>
            <w:r w:rsidR="004F04B4" w:rsidRPr="0092097A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95B3D7" w:themeFill="accent1" w:themeFillTint="99"/>
            <w:vAlign w:val="center"/>
          </w:tcPr>
          <w:p w14:paraId="2363813A" w14:textId="77777777" w:rsidR="004F04B4" w:rsidRPr="0092097A" w:rsidRDefault="004F04B4" w:rsidP="00952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="00473F5E" w:rsidRPr="0092097A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92097A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409" w:type="dxa"/>
            <w:shd w:val="clear" w:color="auto" w:fill="95B3D7" w:themeFill="accent1" w:themeFillTint="99"/>
            <w:vAlign w:val="center"/>
          </w:tcPr>
          <w:p w14:paraId="3B614AEA" w14:textId="77777777" w:rsidR="004F04B4" w:rsidRPr="0092097A" w:rsidRDefault="004F04B4" w:rsidP="00952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b/>
                <w:sz w:val="24"/>
                <w:szCs w:val="24"/>
              </w:rPr>
              <w:t>(f)</w:t>
            </w:r>
          </w:p>
        </w:tc>
        <w:tc>
          <w:tcPr>
            <w:tcW w:w="2911" w:type="dxa"/>
            <w:shd w:val="clear" w:color="auto" w:fill="95B3D7" w:themeFill="accent1" w:themeFillTint="99"/>
            <w:vAlign w:val="center"/>
          </w:tcPr>
          <w:p w14:paraId="1E83B95E" w14:textId="77777777" w:rsidR="004F04B4" w:rsidRPr="0092097A" w:rsidRDefault="004F04B4" w:rsidP="00952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b/>
                <w:sz w:val="24"/>
                <w:szCs w:val="24"/>
              </w:rPr>
              <w:t>(g)</w:t>
            </w:r>
          </w:p>
        </w:tc>
      </w:tr>
      <w:tr w:rsidR="004F04B4" w:rsidRPr="0092097A" w14:paraId="2BF1871A" w14:textId="77777777" w:rsidTr="00952A1B">
        <w:tc>
          <w:tcPr>
            <w:tcW w:w="924" w:type="dxa"/>
          </w:tcPr>
          <w:p w14:paraId="2CF00CAF" w14:textId="77777777" w:rsidR="004F04B4" w:rsidRPr="0092097A" w:rsidRDefault="00976916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14:paraId="10234F1F" w14:textId="77777777" w:rsidR="004F04B4" w:rsidRPr="0092097A" w:rsidRDefault="00976916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Human Resources </w:t>
            </w:r>
          </w:p>
        </w:tc>
        <w:tc>
          <w:tcPr>
            <w:tcW w:w="1701" w:type="dxa"/>
          </w:tcPr>
          <w:p w14:paraId="359F1EEC" w14:textId="77777777" w:rsidR="004F04B4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Executive</w:t>
            </w:r>
            <w:r w:rsidR="004F04B4" w:rsidRPr="0092097A">
              <w:rPr>
                <w:rFonts w:asciiTheme="minorHAnsi" w:hAnsiTheme="minorHAnsi" w:cstheme="minorHAnsi"/>
                <w:sz w:val="24"/>
                <w:szCs w:val="24"/>
              </w:rPr>
              <w:t xml:space="preserve"> Director</w:t>
            </w:r>
          </w:p>
        </w:tc>
        <w:tc>
          <w:tcPr>
            <w:tcW w:w="1844" w:type="dxa"/>
          </w:tcPr>
          <w:p w14:paraId="3472023A" w14:textId="77777777" w:rsidR="004F04B4" w:rsidRPr="0092097A" w:rsidRDefault="004F04B4" w:rsidP="00952A1B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Recruitment</w:t>
            </w:r>
          </w:p>
        </w:tc>
        <w:tc>
          <w:tcPr>
            <w:tcW w:w="2551" w:type="dxa"/>
          </w:tcPr>
          <w:p w14:paraId="14CC3148" w14:textId="77777777" w:rsidR="004F04B4" w:rsidRPr="0092097A" w:rsidRDefault="004F04B4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Documents collected during the recruitment process of employment i.e. Application Forms, CV, interview notes etc.</w:t>
            </w:r>
          </w:p>
        </w:tc>
        <w:tc>
          <w:tcPr>
            <w:tcW w:w="2409" w:type="dxa"/>
          </w:tcPr>
          <w:p w14:paraId="788B5232" w14:textId="77777777" w:rsidR="004F04B4" w:rsidRPr="0092097A" w:rsidRDefault="004F04B4" w:rsidP="00952A1B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2 </w:t>
            </w:r>
            <w:r w:rsidR="00B60E24"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y</w:t>
            </w: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ears</w:t>
            </w:r>
          </w:p>
        </w:tc>
        <w:tc>
          <w:tcPr>
            <w:tcW w:w="2911" w:type="dxa"/>
          </w:tcPr>
          <w:p w14:paraId="13DD4D77" w14:textId="77777777" w:rsidR="004F04B4" w:rsidRPr="0092097A" w:rsidRDefault="00BB2CD4" w:rsidP="00952A1B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Personal data may</w:t>
            </w:r>
            <w:r w:rsidR="004F04B4"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be kept</w:t>
            </w: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for longer provided</w:t>
            </w:r>
            <w:r w:rsidR="004F04B4"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the candidate consent</w:t>
            </w: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 to the retention of their data for a longer [specified] period i.e. about similar roles in the future</w:t>
            </w:r>
            <w:r w:rsidR="004F04B4"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9026E" w:rsidRPr="0092097A" w14:paraId="08E1A76C" w14:textId="77777777" w:rsidTr="00952A1B">
        <w:tc>
          <w:tcPr>
            <w:tcW w:w="924" w:type="dxa"/>
          </w:tcPr>
          <w:p w14:paraId="6BD8C51D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14:paraId="760ECD1D" w14:textId="77777777" w:rsidR="00C9026E" w:rsidRPr="0092097A" w:rsidRDefault="00C9026E" w:rsidP="0092097A">
            <w:pPr>
              <w:tabs>
                <w:tab w:val="left" w:pos="855"/>
              </w:tabs>
              <w:kinsoku w:val="0"/>
              <w:overflowPunct w:val="0"/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 xml:space="preserve"> Human Resources</w:t>
            </w:r>
            <w:r w:rsidRPr="0092097A"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0DFBAD0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0E78FC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Executive Director</w:t>
            </w:r>
          </w:p>
        </w:tc>
        <w:tc>
          <w:tcPr>
            <w:tcW w:w="1844" w:type="dxa"/>
          </w:tcPr>
          <w:p w14:paraId="50441098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Employment records</w:t>
            </w:r>
          </w:p>
        </w:tc>
        <w:tc>
          <w:tcPr>
            <w:tcW w:w="2551" w:type="dxa"/>
          </w:tcPr>
          <w:p w14:paraId="5E3D8822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Documents collected during an individual’s association with the TDB. Includes names, addresses, NI, dates of employment, appraisal records. Also, Panel Member's contracts and service contracts.</w:t>
            </w:r>
          </w:p>
        </w:tc>
        <w:tc>
          <w:tcPr>
            <w:tcW w:w="2409" w:type="dxa"/>
          </w:tcPr>
          <w:p w14:paraId="799C7649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 years after an employee has left the TDB.</w:t>
            </w:r>
          </w:p>
        </w:tc>
        <w:tc>
          <w:tcPr>
            <w:tcW w:w="2911" w:type="dxa"/>
          </w:tcPr>
          <w:p w14:paraId="0272CAFB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Some documents kept indefinitely where justified. For instance, records relating to the issue of PPE (as applicable).</w:t>
            </w:r>
          </w:p>
        </w:tc>
      </w:tr>
      <w:tr w:rsidR="00C9026E" w:rsidRPr="0092097A" w14:paraId="3548FE83" w14:textId="77777777" w:rsidTr="00952A1B">
        <w:tc>
          <w:tcPr>
            <w:tcW w:w="924" w:type="dxa"/>
          </w:tcPr>
          <w:p w14:paraId="53E0A277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14:paraId="6BC5A3F5" w14:textId="77777777" w:rsidR="00C9026E" w:rsidRPr="0092097A" w:rsidRDefault="00C9026E" w:rsidP="0092097A">
            <w:pPr>
              <w:tabs>
                <w:tab w:val="left" w:pos="855"/>
              </w:tabs>
              <w:kinsoku w:val="0"/>
              <w:overflowPunct w:val="0"/>
              <w:spacing w:before="120" w:after="120" w:line="24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Human Resources </w:t>
            </w:r>
          </w:p>
          <w:p w14:paraId="182FDEC6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8213A3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Executive Director</w:t>
            </w:r>
          </w:p>
        </w:tc>
        <w:tc>
          <w:tcPr>
            <w:tcW w:w="1844" w:type="dxa"/>
          </w:tcPr>
          <w:p w14:paraId="3C385FE2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Records of </w:t>
            </w: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Board members, panel members and contractors</w:t>
            </w:r>
          </w:p>
        </w:tc>
        <w:tc>
          <w:tcPr>
            <w:tcW w:w="2551" w:type="dxa"/>
          </w:tcPr>
          <w:p w14:paraId="59C32AC1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Documents collected during an individual’s association with the TDB. Includes names, </w:t>
            </w: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addresses, NI, dates of employment, appraisal records. Also, Panel Member's contracts and service contracts.</w:t>
            </w:r>
          </w:p>
        </w:tc>
        <w:tc>
          <w:tcPr>
            <w:tcW w:w="2409" w:type="dxa"/>
          </w:tcPr>
          <w:p w14:paraId="2F4C1D29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 xml:space="preserve">6 years after the member/ contractor has ceased their </w:t>
            </w: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association with the TDB.</w:t>
            </w:r>
          </w:p>
        </w:tc>
        <w:tc>
          <w:tcPr>
            <w:tcW w:w="2911" w:type="dxa"/>
          </w:tcPr>
          <w:p w14:paraId="160768B7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 xml:space="preserve">Some documents kept indefinitely where justified. For instance, records </w:t>
            </w: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relating to the issue of PPE (as applicable).</w:t>
            </w:r>
          </w:p>
        </w:tc>
      </w:tr>
      <w:tr w:rsidR="00C9026E" w:rsidRPr="0092097A" w14:paraId="184831DD" w14:textId="77777777" w:rsidTr="00952A1B">
        <w:tc>
          <w:tcPr>
            <w:tcW w:w="924" w:type="dxa"/>
          </w:tcPr>
          <w:p w14:paraId="4C58ACC0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1452" w:type="dxa"/>
          </w:tcPr>
          <w:p w14:paraId="00E80E55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Human Resources</w:t>
            </w:r>
          </w:p>
        </w:tc>
        <w:tc>
          <w:tcPr>
            <w:tcW w:w="1701" w:type="dxa"/>
          </w:tcPr>
          <w:p w14:paraId="617A786B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Executive Director</w:t>
            </w:r>
          </w:p>
        </w:tc>
        <w:tc>
          <w:tcPr>
            <w:tcW w:w="1844" w:type="dxa"/>
          </w:tcPr>
          <w:p w14:paraId="326A7ACA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Files relating to staff disciplinary proceedings</w:t>
            </w:r>
          </w:p>
        </w:tc>
        <w:tc>
          <w:tcPr>
            <w:tcW w:w="2551" w:type="dxa"/>
          </w:tcPr>
          <w:p w14:paraId="39F55520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Documents collected during an individual’s employment.</w:t>
            </w:r>
          </w:p>
        </w:tc>
        <w:tc>
          <w:tcPr>
            <w:tcW w:w="2409" w:type="dxa"/>
          </w:tcPr>
          <w:p w14:paraId="13CF79E1" w14:textId="6E481A44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Written warnings to be deleted at the end of the warning period </w:t>
            </w:r>
            <w:r w:rsidR="005C2D5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i.e. first written warning for 6 months and final written warning for 12 months.</w:t>
            </w:r>
            <w:r w:rsidR="005C2D51"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19836AA2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 years after the member leaves the TDB.</w:t>
            </w:r>
          </w:p>
        </w:tc>
        <w:tc>
          <w:tcPr>
            <w:tcW w:w="2911" w:type="dxa"/>
          </w:tcPr>
          <w:p w14:paraId="619E7DAD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026E" w:rsidRPr="0092097A" w14:paraId="42634A40" w14:textId="77777777" w:rsidTr="00952A1B">
        <w:tc>
          <w:tcPr>
            <w:tcW w:w="924" w:type="dxa"/>
          </w:tcPr>
          <w:p w14:paraId="24ADA0DC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14:paraId="3400ECE4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Human Resources</w:t>
            </w:r>
          </w:p>
        </w:tc>
        <w:tc>
          <w:tcPr>
            <w:tcW w:w="1701" w:type="dxa"/>
          </w:tcPr>
          <w:p w14:paraId="228CBFEC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Executive Director</w:t>
            </w:r>
          </w:p>
        </w:tc>
        <w:tc>
          <w:tcPr>
            <w:tcW w:w="1844" w:type="dxa"/>
          </w:tcPr>
          <w:p w14:paraId="0CAB7317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Sickness Records</w:t>
            </w:r>
          </w:p>
        </w:tc>
        <w:tc>
          <w:tcPr>
            <w:tcW w:w="2551" w:type="dxa"/>
          </w:tcPr>
          <w:p w14:paraId="286AEF3B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Documents provided during sick leave e.g. Doctor notes.</w:t>
            </w:r>
          </w:p>
        </w:tc>
        <w:tc>
          <w:tcPr>
            <w:tcW w:w="2409" w:type="dxa"/>
          </w:tcPr>
          <w:p w14:paraId="296874EA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 years.</w:t>
            </w:r>
          </w:p>
        </w:tc>
        <w:tc>
          <w:tcPr>
            <w:tcW w:w="2911" w:type="dxa"/>
          </w:tcPr>
          <w:p w14:paraId="2759FD9D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026E" w:rsidRPr="0092097A" w14:paraId="607FC2E8" w14:textId="77777777" w:rsidTr="00952A1B">
        <w:tc>
          <w:tcPr>
            <w:tcW w:w="924" w:type="dxa"/>
          </w:tcPr>
          <w:p w14:paraId="76244766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1452" w:type="dxa"/>
          </w:tcPr>
          <w:p w14:paraId="68D3FF33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Finance</w:t>
            </w:r>
          </w:p>
        </w:tc>
        <w:tc>
          <w:tcPr>
            <w:tcW w:w="1701" w:type="dxa"/>
          </w:tcPr>
          <w:p w14:paraId="27F23E24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Executive Director</w:t>
            </w:r>
          </w:p>
        </w:tc>
        <w:tc>
          <w:tcPr>
            <w:tcW w:w="1844" w:type="dxa"/>
          </w:tcPr>
          <w:p w14:paraId="1346B32A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Payroll</w:t>
            </w:r>
          </w:p>
        </w:tc>
        <w:tc>
          <w:tcPr>
            <w:tcW w:w="2551" w:type="dxa"/>
          </w:tcPr>
          <w:p w14:paraId="1A53FBB2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Salaries of employees, Board members, Panel members and contractors.</w:t>
            </w:r>
          </w:p>
        </w:tc>
        <w:tc>
          <w:tcPr>
            <w:tcW w:w="2409" w:type="dxa"/>
          </w:tcPr>
          <w:p w14:paraId="22EBA04D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6 years from the end of the last company financial year.</w:t>
            </w:r>
          </w:p>
        </w:tc>
        <w:tc>
          <w:tcPr>
            <w:tcW w:w="2911" w:type="dxa"/>
          </w:tcPr>
          <w:p w14:paraId="44716C22" w14:textId="77777777" w:rsidR="00C9026E" w:rsidRPr="0092097A" w:rsidRDefault="00C9026E" w:rsidP="00952A1B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Retained for longer if:</w:t>
            </w:r>
          </w:p>
          <w:p w14:paraId="4E4E3D1A" w14:textId="77777777" w:rsidR="00C9026E" w:rsidRPr="0092097A" w:rsidRDefault="00C9026E" w:rsidP="00952A1B">
            <w:pPr>
              <w:pStyle w:val="ListParagraph"/>
              <w:numPr>
                <w:ilvl w:val="0"/>
                <w:numId w:val="30"/>
              </w:numPr>
              <w:spacing w:before="120" w:after="0" w:line="240" w:lineRule="auto"/>
              <w:ind w:left="317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the record shows a transaction that covers more than one of the company’s accounting periods</w:t>
            </w:r>
          </w:p>
          <w:p w14:paraId="2A8AE5BD" w14:textId="77777777" w:rsidR="00C9026E" w:rsidRPr="0092097A" w:rsidRDefault="00C9026E" w:rsidP="00952A1B">
            <w:pPr>
              <w:pStyle w:val="ListParagraph"/>
              <w:numPr>
                <w:ilvl w:val="0"/>
                <w:numId w:val="30"/>
              </w:numPr>
              <w:spacing w:before="120" w:after="0" w:line="240" w:lineRule="auto"/>
              <w:ind w:left="317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the company has bought something that it expects to last more than 6 years, like equipment or machinery</w:t>
            </w:r>
          </w:p>
          <w:p w14:paraId="2D9C4E97" w14:textId="77777777" w:rsidR="00C9026E" w:rsidRPr="0092097A" w:rsidRDefault="00C9026E" w:rsidP="00952A1B">
            <w:pPr>
              <w:pStyle w:val="ListParagraph"/>
              <w:numPr>
                <w:ilvl w:val="0"/>
                <w:numId w:val="30"/>
              </w:numPr>
              <w:spacing w:before="120" w:after="0" w:line="240" w:lineRule="auto"/>
              <w:ind w:left="317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the Company Tax Return was sent late</w:t>
            </w:r>
          </w:p>
        </w:tc>
      </w:tr>
      <w:tr w:rsidR="00C9026E" w:rsidRPr="0092097A" w14:paraId="39E9A0B3" w14:textId="77777777" w:rsidTr="00952A1B">
        <w:tc>
          <w:tcPr>
            <w:tcW w:w="924" w:type="dxa"/>
          </w:tcPr>
          <w:p w14:paraId="20652622" w14:textId="77777777" w:rsidR="00C9026E" w:rsidRPr="0092097A" w:rsidRDefault="00C61A77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14:paraId="6374B6BF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Finance</w:t>
            </w:r>
          </w:p>
        </w:tc>
        <w:tc>
          <w:tcPr>
            <w:tcW w:w="1701" w:type="dxa"/>
          </w:tcPr>
          <w:p w14:paraId="0F93B9C5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Executive Director</w:t>
            </w:r>
          </w:p>
        </w:tc>
        <w:tc>
          <w:tcPr>
            <w:tcW w:w="1844" w:type="dxa"/>
          </w:tcPr>
          <w:p w14:paraId="314A8220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Management Accounts</w:t>
            </w:r>
          </w:p>
        </w:tc>
        <w:tc>
          <w:tcPr>
            <w:tcW w:w="2551" w:type="dxa"/>
          </w:tcPr>
          <w:p w14:paraId="126ECB03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Invoices, accounts payable etc.</w:t>
            </w:r>
          </w:p>
        </w:tc>
        <w:tc>
          <w:tcPr>
            <w:tcW w:w="2409" w:type="dxa"/>
          </w:tcPr>
          <w:p w14:paraId="3F6EED35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6 years from the end of the last company financial year.</w:t>
            </w:r>
          </w:p>
        </w:tc>
        <w:tc>
          <w:tcPr>
            <w:tcW w:w="2911" w:type="dxa"/>
          </w:tcPr>
          <w:p w14:paraId="1D8EF029" w14:textId="77777777" w:rsidR="00C9026E" w:rsidRPr="0092097A" w:rsidRDefault="00C9026E" w:rsidP="00952A1B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Retained for longer if:</w:t>
            </w:r>
          </w:p>
          <w:p w14:paraId="0FA00993" w14:textId="77777777" w:rsidR="00C9026E" w:rsidRPr="0092097A" w:rsidRDefault="00C9026E" w:rsidP="00952A1B">
            <w:pPr>
              <w:pStyle w:val="ListParagraph"/>
              <w:numPr>
                <w:ilvl w:val="0"/>
                <w:numId w:val="30"/>
              </w:numPr>
              <w:spacing w:before="120" w:after="0" w:line="240" w:lineRule="auto"/>
              <w:ind w:left="317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the record shows a transaction that covers more than one of the company’s accounting periods</w:t>
            </w:r>
          </w:p>
          <w:p w14:paraId="099BF41E" w14:textId="77777777" w:rsidR="00C9026E" w:rsidRPr="0092097A" w:rsidRDefault="00C9026E" w:rsidP="00952A1B">
            <w:pPr>
              <w:pStyle w:val="ListParagraph"/>
              <w:numPr>
                <w:ilvl w:val="0"/>
                <w:numId w:val="30"/>
              </w:numPr>
              <w:spacing w:before="120" w:after="0" w:line="240" w:lineRule="auto"/>
              <w:ind w:left="317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 xml:space="preserve">the company has bought something that </w:t>
            </w:r>
            <w:r w:rsidRPr="0092097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it expects to last more than 6 years, like equipment or machinery</w:t>
            </w:r>
          </w:p>
          <w:p w14:paraId="3EF0E0B7" w14:textId="77777777" w:rsidR="00C9026E" w:rsidRPr="0092097A" w:rsidRDefault="00C9026E" w:rsidP="00952A1B">
            <w:pPr>
              <w:pStyle w:val="ListParagraph"/>
              <w:numPr>
                <w:ilvl w:val="0"/>
                <w:numId w:val="30"/>
              </w:numPr>
              <w:spacing w:before="120" w:after="0" w:line="240" w:lineRule="auto"/>
              <w:ind w:left="317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the Company Tax Return was sent late</w:t>
            </w:r>
          </w:p>
        </w:tc>
      </w:tr>
      <w:tr w:rsidR="00C9026E" w:rsidRPr="0092097A" w14:paraId="3ABFB8B4" w14:textId="77777777" w:rsidTr="00952A1B">
        <w:tc>
          <w:tcPr>
            <w:tcW w:w="924" w:type="dxa"/>
          </w:tcPr>
          <w:p w14:paraId="52C6D329" w14:textId="77777777" w:rsidR="00C9026E" w:rsidRPr="0092097A" w:rsidRDefault="00C61A77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8</w:t>
            </w:r>
          </w:p>
        </w:tc>
        <w:tc>
          <w:tcPr>
            <w:tcW w:w="1452" w:type="dxa"/>
          </w:tcPr>
          <w:p w14:paraId="309FA775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Finance</w:t>
            </w:r>
          </w:p>
        </w:tc>
        <w:tc>
          <w:tcPr>
            <w:tcW w:w="1701" w:type="dxa"/>
          </w:tcPr>
          <w:p w14:paraId="77E80BFE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Executive Director</w:t>
            </w:r>
          </w:p>
        </w:tc>
        <w:tc>
          <w:tcPr>
            <w:tcW w:w="1844" w:type="dxa"/>
          </w:tcPr>
          <w:p w14:paraId="1C20FCF9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Expenses</w:t>
            </w:r>
          </w:p>
        </w:tc>
        <w:tc>
          <w:tcPr>
            <w:tcW w:w="2551" w:type="dxa"/>
          </w:tcPr>
          <w:p w14:paraId="38958CF0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Details of expenses claimed by employees, Board members, Panel members and contractors (as applicable).</w:t>
            </w:r>
          </w:p>
        </w:tc>
        <w:tc>
          <w:tcPr>
            <w:tcW w:w="2409" w:type="dxa"/>
          </w:tcPr>
          <w:p w14:paraId="5C4C9AAB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6 years from the end of the last company financial year.</w:t>
            </w:r>
          </w:p>
        </w:tc>
        <w:tc>
          <w:tcPr>
            <w:tcW w:w="2911" w:type="dxa"/>
          </w:tcPr>
          <w:p w14:paraId="01D676E7" w14:textId="77777777" w:rsidR="00C9026E" w:rsidRPr="0092097A" w:rsidRDefault="00C9026E" w:rsidP="00952A1B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Retained for longer if:</w:t>
            </w:r>
          </w:p>
          <w:p w14:paraId="1B9C3B29" w14:textId="77777777" w:rsidR="00C9026E" w:rsidRPr="0092097A" w:rsidRDefault="005C2D51" w:rsidP="00952A1B">
            <w:pPr>
              <w:pStyle w:val="ListParagraph"/>
              <w:numPr>
                <w:ilvl w:val="0"/>
                <w:numId w:val="30"/>
              </w:numPr>
              <w:spacing w:before="120" w:after="0" w:line="240" w:lineRule="auto"/>
              <w:ind w:left="317" w:hanging="28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C9026E" w:rsidRPr="0092097A">
              <w:rPr>
                <w:rFonts w:asciiTheme="minorHAnsi" w:hAnsiTheme="minorHAnsi" w:cstheme="minorHAnsi"/>
                <w:sz w:val="24"/>
                <w:szCs w:val="24"/>
              </w:rPr>
              <w:t>he record shows a transaction that covers more than one of the company’s accounting periods</w:t>
            </w:r>
          </w:p>
          <w:p w14:paraId="53965310" w14:textId="77777777" w:rsidR="00C9026E" w:rsidRPr="0092097A" w:rsidRDefault="00C9026E" w:rsidP="00952A1B">
            <w:pPr>
              <w:pStyle w:val="ListParagraph"/>
              <w:numPr>
                <w:ilvl w:val="0"/>
                <w:numId w:val="30"/>
              </w:numPr>
              <w:spacing w:before="120" w:after="0" w:line="240" w:lineRule="auto"/>
              <w:ind w:left="317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the company has bought something that it expects to last more than 6 years, like equipment or machinery</w:t>
            </w:r>
          </w:p>
          <w:p w14:paraId="48FD5C03" w14:textId="77777777" w:rsidR="00C9026E" w:rsidRPr="0092097A" w:rsidRDefault="00C9026E" w:rsidP="00952A1B">
            <w:pPr>
              <w:pStyle w:val="ListParagraph"/>
              <w:numPr>
                <w:ilvl w:val="0"/>
                <w:numId w:val="30"/>
              </w:numPr>
              <w:spacing w:before="120" w:after="0" w:line="240" w:lineRule="auto"/>
              <w:ind w:left="317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the Company Tax Return was sent late</w:t>
            </w:r>
          </w:p>
        </w:tc>
      </w:tr>
      <w:tr w:rsidR="00C9026E" w:rsidRPr="0092097A" w14:paraId="128AF401" w14:textId="77777777" w:rsidTr="00952A1B">
        <w:tc>
          <w:tcPr>
            <w:tcW w:w="924" w:type="dxa"/>
          </w:tcPr>
          <w:p w14:paraId="681DB485" w14:textId="77777777" w:rsidR="00C9026E" w:rsidRPr="0092097A" w:rsidRDefault="00C61A77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9</w:t>
            </w:r>
          </w:p>
        </w:tc>
        <w:tc>
          <w:tcPr>
            <w:tcW w:w="1452" w:type="dxa"/>
          </w:tcPr>
          <w:p w14:paraId="56A33811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Finance</w:t>
            </w:r>
          </w:p>
        </w:tc>
        <w:tc>
          <w:tcPr>
            <w:tcW w:w="1701" w:type="dxa"/>
          </w:tcPr>
          <w:p w14:paraId="4EAAD7A4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Executive Director</w:t>
            </w:r>
          </w:p>
        </w:tc>
        <w:tc>
          <w:tcPr>
            <w:tcW w:w="1844" w:type="dxa"/>
          </w:tcPr>
          <w:p w14:paraId="0B1F84E6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Bank Details</w:t>
            </w:r>
          </w:p>
        </w:tc>
        <w:tc>
          <w:tcPr>
            <w:tcW w:w="2551" w:type="dxa"/>
          </w:tcPr>
          <w:p w14:paraId="533A289F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9353705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6 years from the end of the last company financial year.</w:t>
            </w:r>
          </w:p>
        </w:tc>
        <w:tc>
          <w:tcPr>
            <w:tcW w:w="2911" w:type="dxa"/>
          </w:tcPr>
          <w:p w14:paraId="098CC42A" w14:textId="77777777" w:rsidR="00C9026E" w:rsidRPr="0092097A" w:rsidRDefault="00C9026E" w:rsidP="00952A1B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Retained for longer if:</w:t>
            </w:r>
          </w:p>
          <w:p w14:paraId="784E30C8" w14:textId="77777777" w:rsidR="00C9026E" w:rsidRPr="0092097A" w:rsidRDefault="00C9026E" w:rsidP="00952A1B">
            <w:pPr>
              <w:pStyle w:val="ListParagraph"/>
              <w:numPr>
                <w:ilvl w:val="0"/>
                <w:numId w:val="30"/>
              </w:numPr>
              <w:spacing w:before="120" w:after="0" w:line="240" w:lineRule="auto"/>
              <w:ind w:left="317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the record shows a transaction that covers more than one of the company’s accounting periods</w:t>
            </w:r>
          </w:p>
          <w:p w14:paraId="6AB26B54" w14:textId="77777777" w:rsidR="00C9026E" w:rsidRPr="0092097A" w:rsidRDefault="00C9026E" w:rsidP="00952A1B">
            <w:pPr>
              <w:pStyle w:val="ListParagraph"/>
              <w:numPr>
                <w:ilvl w:val="0"/>
                <w:numId w:val="30"/>
              </w:numPr>
              <w:spacing w:before="120" w:after="0" w:line="240" w:lineRule="auto"/>
              <w:ind w:left="317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the company has bought something that it expects to last more than 6 years, like equipment or machinery</w:t>
            </w:r>
          </w:p>
          <w:p w14:paraId="59CC6D53" w14:textId="77777777" w:rsidR="00C9026E" w:rsidRPr="0092097A" w:rsidRDefault="00C9026E" w:rsidP="00952A1B">
            <w:pPr>
              <w:pStyle w:val="ListParagraph"/>
              <w:numPr>
                <w:ilvl w:val="0"/>
                <w:numId w:val="30"/>
              </w:numPr>
              <w:spacing w:before="120" w:after="0" w:line="240" w:lineRule="auto"/>
              <w:ind w:left="317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the Company Tax Return was sent late</w:t>
            </w:r>
          </w:p>
        </w:tc>
      </w:tr>
      <w:tr w:rsidR="00C9026E" w:rsidRPr="0092097A" w14:paraId="0BD74ADE" w14:textId="77777777" w:rsidTr="00952A1B">
        <w:tc>
          <w:tcPr>
            <w:tcW w:w="924" w:type="dxa"/>
          </w:tcPr>
          <w:p w14:paraId="77BF7E96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61A77" w:rsidRPr="0092097A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452" w:type="dxa"/>
          </w:tcPr>
          <w:p w14:paraId="0868317D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Finance</w:t>
            </w:r>
          </w:p>
        </w:tc>
        <w:tc>
          <w:tcPr>
            <w:tcW w:w="1701" w:type="dxa"/>
          </w:tcPr>
          <w:p w14:paraId="203F3897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Executive Director</w:t>
            </w:r>
          </w:p>
        </w:tc>
        <w:tc>
          <w:tcPr>
            <w:tcW w:w="1844" w:type="dxa"/>
          </w:tcPr>
          <w:p w14:paraId="346ACAD4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Tax</w:t>
            </w:r>
          </w:p>
        </w:tc>
        <w:tc>
          <w:tcPr>
            <w:tcW w:w="2551" w:type="dxa"/>
          </w:tcPr>
          <w:p w14:paraId="7FF3F5E9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D2DF61D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6 years from the end of the last company financial year.</w:t>
            </w:r>
          </w:p>
        </w:tc>
        <w:tc>
          <w:tcPr>
            <w:tcW w:w="2911" w:type="dxa"/>
          </w:tcPr>
          <w:p w14:paraId="774783C8" w14:textId="77777777" w:rsidR="00C9026E" w:rsidRPr="0092097A" w:rsidRDefault="00C9026E" w:rsidP="00952A1B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Retained for longer if:</w:t>
            </w:r>
          </w:p>
          <w:p w14:paraId="0D979A47" w14:textId="77777777" w:rsidR="00C9026E" w:rsidRPr="0092097A" w:rsidRDefault="005C2D51" w:rsidP="00952A1B">
            <w:pPr>
              <w:pStyle w:val="ListParagraph"/>
              <w:numPr>
                <w:ilvl w:val="0"/>
                <w:numId w:val="30"/>
              </w:numPr>
              <w:spacing w:before="120" w:after="0" w:line="240" w:lineRule="auto"/>
              <w:ind w:left="317" w:hanging="28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C9026E" w:rsidRPr="0092097A">
              <w:rPr>
                <w:rFonts w:asciiTheme="minorHAnsi" w:hAnsiTheme="minorHAnsi" w:cstheme="minorHAnsi"/>
                <w:sz w:val="24"/>
                <w:szCs w:val="24"/>
              </w:rPr>
              <w:t>he record shows a transaction that covers more than one of the company’s accounting periods</w:t>
            </w:r>
          </w:p>
          <w:p w14:paraId="0C064AC5" w14:textId="77777777" w:rsidR="00C9026E" w:rsidRPr="0092097A" w:rsidRDefault="00C9026E" w:rsidP="00952A1B">
            <w:pPr>
              <w:pStyle w:val="ListParagraph"/>
              <w:numPr>
                <w:ilvl w:val="0"/>
                <w:numId w:val="30"/>
              </w:numPr>
              <w:spacing w:before="120" w:after="0" w:line="240" w:lineRule="auto"/>
              <w:ind w:left="317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 xml:space="preserve">the company has bought something that </w:t>
            </w:r>
            <w:r w:rsidRPr="0092097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it expects to last more than 6 years, like equipment or machinery</w:t>
            </w:r>
          </w:p>
          <w:p w14:paraId="686F2B26" w14:textId="77777777" w:rsidR="00C9026E" w:rsidRPr="0092097A" w:rsidRDefault="00C9026E" w:rsidP="00952A1B">
            <w:pPr>
              <w:pStyle w:val="ListParagraph"/>
              <w:numPr>
                <w:ilvl w:val="0"/>
                <w:numId w:val="30"/>
              </w:numPr>
              <w:spacing w:before="120" w:after="0" w:line="240" w:lineRule="auto"/>
              <w:ind w:left="317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the Company Tax Return was sent late</w:t>
            </w:r>
          </w:p>
        </w:tc>
      </w:tr>
      <w:tr w:rsidR="00C9026E" w:rsidRPr="0092097A" w14:paraId="1BF802A1" w14:textId="77777777" w:rsidTr="00952A1B">
        <w:tc>
          <w:tcPr>
            <w:tcW w:w="924" w:type="dxa"/>
          </w:tcPr>
          <w:p w14:paraId="5D5FD600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</w:t>
            </w:r>
            <w:r w:rsidR="00C61A77" w:rsidRPr="0092097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14:paraId="40A1B669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Finance</w:t>
            </w:r>
          </w:p>
        </w:tc>
        <w:tc>
          <w:tcPr>
            <w:tcW w:w="1701" w:type="dxa"/>
          </w:tcPr>
          <w:p w14:paraId="16DFB004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Executive Director</w:t>
            </w:r>
          </w:p>
        </w:tc>
        <w:tc>
          <w:tcPr>
            <w:tcW w:w="1844" w:type="dxa"/>
          </w:tcPr>
          <w:p w14:paraId="1E704313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Sole Traders incl. Consultants/Contractors</w:t>
            </w:r>
          </w:p>
        </w:tc>
        <w:tc>
          <w:tcPr>
            <w:tcW w:w="2551" w:type="dxa"/>
          </w:tcPr>
          <w:p w14:paraId="53C9FD87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Invoices, </w:t>
            </w:r>
            <w:proofErr w:type="gramStart"/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expenses</w:t>
            </w:r>
            <w:proofErr w:type="gramEnd"/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and bank details.</w:t>
            </w:r>
          </w:p>
        </w:tc>
        <w:tc>
          <w:tcPr>
            <w:tcW w:w="2409" w:type="dxa"/>
          </w:tcPr>
          <w:p w14:paraId="071004C7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6 years from the end of the last company financial year.</w:t>
            </w:r>
          </w:p>
        </w:tc>
        <w:tc>
          <w:tcPr>
            <w:tcW w:w="2911" w:type="dxa"/>
          </w:tcPr>
          <w:p w14:paraId="0C940CE1" w14:textId="77777777" w:rsidR="00C9026E" w:rsidRPr="0092097A" w:rsidRDefault="00C9026E" w:rsidP="00952A1B">
            <w:pPr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Retained for longer if:</w:t>
            </w:r>
          </w:p>
          <w:p w14:paraId="26BECB43" w14:textId="77777777" w:rsidR="00C9026E" w:rsidRPr="0092097A" w:rsidRDefault="005C2D51" w:rsidP="00952A1B">
            <w:pPr>
              <w:pStyle w:val="ListParagraph"/>
              <w:numPr>
                <w:ilvl w:val="0"/>
                <w:numId w:val="30"/>
              </w:numPr>
              <w:spacing w:before="120" w:after="0" w:line="240" w:lineRule="auto"/>
              <w:ind w:left="317" w:hanging="28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C9026E" w:rsidRPr="0092097A">
              <w:rPr>
                <w:rFonts w:asciiTheme="minorHAnsi" w:hAnsiTheme="minorHAnsi" w:cstheme="minorHAnsi"/>
                <w:sz w:val="24"/>
                <w:szCs w:val="24"/>
              </w:rPr>
              <w:t>he record shows a transaction that covers more than one of the company’s accounting periods</w:t>
            </w:r>
          </w:p>
          <w:p w14:paraId="008893AC" w14:textId="77777777" w:rsidR="00C9026E" w:rsidRPr="0092097A" w:rsidRDefault="00C9026E" w:rsidP="00952A1B">
            <w:pPr>
              <w:pStyle w:val="ListParagraph"/>
              <w:numPr>
                <w:ilvl w:val="0"/>
                <w:numId w:val="30"/>
              </w:numPr>
              <w:spacing w:before="120" w:after="0" w:line="240" w:lineRule="auto"/>
              <w:ind w:left="317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the company has bought something that it expects to last more than 6 years, like equipment or machinery</w:t>
            </w:r>
          </w:p>
          <w:p w14:paraId="16F30EF1" w14:textId="77777777" w:rsidR="00C9026E" w:rsidRDefault="00C9026E" w:rsidP="00952A1B">
            <w:pPr>
              <w:pStyle w:val="ListParagraph"/>
              <w:numPr>
                <w:ilvl w:val="0"/>
                <w:numId w:val="30"/>
              </w:numPr>
              <w:spacing w:before="120" w:after="0" w:line="240" w:lineRule="auto"/>
              <w:ind w:left="317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the Company Tax Return was sent late</w:t>
            </w:r>
          </w:p>
          <w:p w14:paraId="25B929A9" w14:textId="77777777" w:rsidR="00952A1B" w:rsidRPr="00952A1B" w:rsidRDefault="00952A1B" w:rsidP="00952A1B"/>
          <w:p w14:paraId="1295E828" w14:textId="0590F950" w:rsidR="00952A1B" w:rsidRPr="00952A1B" w:rsidRDefault="00952A1B" w:rsidP="00952A1B">
            <w:pPr>
              <w:jc w:val="right"/>
            </w:pPr>
          </w:p>
        </w:tc>
      </w:tr>
      <w:tr w:rsidR="00C9026E" w:rsidRPr="0092097A" w14:paraId="26355D2F" w14:textId="77777777" w:rsidTr="00952A1B">
        <w:tc>
          <w:tcPr>
            <w:tcW w:w="924" w:type="dxa"/>
          </w:tcPr>
          <w:p w14:paraId="14898D08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</w:t>
            </w:r>
            <w:r w:rsidR="00C61A77" w:rsidRPr="0092097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14:paraId="7BF42004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Finance</w:t>
            </w:r>
          </w:p>
        </w:tc>
        <w:tc>
          <w:tcPr>
            <w:tcW w:w="1701" w:type="dxa"/>
          </w:tcPr>
          <w:p w14:paraId="5F7D332C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Executive Director</w:t>
            </w:r>
          </w:p>
        </w:tc>
        <w:tc>
          <w:tcPr>
            <w:tcW w:w="1844" w:type="dxa"/>
          </w:tcPr>
          <w:p w14:paraId="61210F00" w14:textId="5F249245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Purchases </w:t>
            </w:r>
          </w:p>
        </w:tc>
        <w:tc>
          <w:tcPr>
            <w:tcW w:w="2551" w:type="dxa"/>
          </w:tcPr>
          <w:p w14:paraId="4C49620B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Names, addresses and contact details of suppliers. </w:t>
            </w:r>
          </w:p>
        </w:tc>
        <w:tc>
          <w:tcPr>
            <w:tcW w:w="2409" w:type="dxa"/>
          </w:tcPr>
          <w:p w14:paraId="3643212E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 years.</w:t>
            </w:r>
          </w:p>
        </w:tc>
        <w:tc>
          <w:tcPr>
            <w:tcW w:w="2911" w:type="dxa"/>
          </w:tcPr>
          <w:p w14:paraId="485CABBD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Records may be held for longer than 7 years, with subject to periodic review.</w:t>
            </w:r>
          </w:p>
        </w:tc>
      </w:tr>
      <w:tr w:rsidR="005F5875" w:rsidRPr="0092097A" w14:paraId="4B465D86" w14:textId="77777777" w:rsidTr="00952A1B">
        <w:tc>
          <w:tcPr>
            <w:tcW w:w="924" w:type="dxa"/>
          </w:tcPr>
          <w:p w14:paraId="6844A0A6" w14:textId="77777777" w:rsidR="005F5875" w:rsidRPr="0092097A" w:rsidRDefault="005F5875" w:rsidP="001E54F1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14:paraId="2BD3F292" w14:textId="77777777" w:rsidR="005F5875" w:rsidRPr="0092097A" w:rsidRDefault="005F5875" w:rsidP="001E54F1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Finance</w:t>
            </w:r>
          </w:p>
        </w:tc>
        <w:tc>
          <w:tcPr>
            <w:tcW w:w="1701" w:type="dxa"/>
          </w:tcPr>
          <w:p w14:paraId="7D0DA4F3" w14:textId="77777777" w:rsidR="005F5875" w:rsidRPr="0092097A" w:rsidRDefault="005F5875" w:rsidP="001E54F1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Executive Director</w:t>
            </w:r>
          </w:p>
        </w:tc>
        <w:tc>
          <w:tcPr>
            <w:tcW w:w="1844" w:type="dxa"/>
          </w:tcPr>
          <w:p w14:paraId="0F7DFD49" w14:textId="77777777" w:rsidR="005F5875" w:rsidRPr="0092097A" w:rsidRDefault="005F5875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Insurance </w:t>
            </w:r>
          </w:p>
        </w:tc>
        <w:tc>
          <w:tcPr>
            <w:tcW w:w="2551" w:type="dxa"/>
          </w:tcPr>
          <w:p w14:paraId="6F6A887F" w14:textId="77777777" w:rsidR="005F5875" w:rsidRPr="0092097A" w:rsidRDefault="005F5875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Applications/policies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/ </w:t>
            </w: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claim documentation</w:t>
            </w:r>
          </w:p>
        </w:tc>
        <w:tc>
          <w:tcPr>
            <w:tcW w:w="2409" w:type="dxa"/>
          </w:tcPr>
          <w:p w14:paraId="65036C11" w14:textId="77777777" w:rsidR="005F5875" w:rsidRPr="0092097A" w:rsidRDefault="005F5875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Expiry of the policy</w:t>
            </w:r>
            <w:r w:rsidR="00B70ED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+ 7 years</w:t>
            </w: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4F55B2CC" w14:textId="77777777" w:rsidR="005F5875" w:rsidRPr="0092097A" w:rsidRDefault="005F5875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 year after a claim has been settled.</w:t>
            </w:r>
          </w:p>
        </w:tc>
        <w:tc>
          <w:tcPr>
            <w:tcW w:w="2911" w:type="dxa"/>
          </w:tcPr>
          <w:p w14:paraId="25B92828" w14:textId="77777777" w:rsidR="005F5875" w:rsidRPr="0092097A" w:rsidRDefault="005F5875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C9026E" w:rsidRPr="0092097A" w14:paraId="0ADA6BDB" w14:textId="77777777" w:rsidTr="00952A1B">
        <w:tc>
          <w:tcPr>
            <w:tcW w:w="924" w:type="dxa"/>
          </w:tcPr>
          <w:p w14:paraId="657EB319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F5875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14:paraId="48A9A29E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Finance</w:t>
            </w:r>
          </w:p>
        </w:tc>
        <w:tc>
          <w:tcPr>
            <w:tcW w:w="1701" w:type="dxa"/>
          </w:tcPr>
          <w:p w14:paraId="2ED06DC0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Executive Director</w:t>
            </w:r>
          </w:p>
        </w:tc>
        <w:tc>
          <w:tcPr>
            <w:tcW w:w="1844" w:type="dxa"/>
          </w:tcPr>
          <w:p w14:paraId="0D0F3D3D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Service Contracts</w:t>
            </w:r>
          </w:p>
        </w:tc>
        <w:tc>
          <w:tcPr>
            <w:tcW w:w="2551" w:type="dxa"/>
          </w:tcPr>
          <w:p w14:paraId="1CAD0283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Names, addresses and contact details of service providers.</w:t>
            </w:r>
          </w:p>
        </w:tc>
        <w:tc>
          <w:tcPr>
            <w:tcW w:w="2409" w:type="dxa"/>
          </w:tcPr>
          <w:p w14:paraId="34461BA8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 years.</w:t>
            </w:r>
          </w:p>
        </w:tc>
        <w:tc>
          <w:tcPr>
            <w:tcW w:w="2911" w:type="dxa"/>
          </w:tcPr>
          <w:p w14:paraId="009FBB20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Records may be held for longer than 7 years, subject to periodic reviews.</w:t>
            </w:r>
          </w:p>
        </w:tc>
      </w:tr>
      <w:tr w:rsidR="00C9026E" w:rsidRPr="0092097A" w14:paraId="0ED3313E" w14:textId="77777777" w:rsidTr="00952A1B">
        <w:tc>
          <w:tcPr>
            <w:tcW w:w="924" w:type="dxa"/>
          </w:tcPr>
          <w:p w14:paraId="786870FF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61A77" w:rsidRPr="0092097A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14:paraId="59C3D411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  <w:tc>
          <w:tcPr>
            <w:tcW w:w="1701" w:type="dxa"/>
          </w:tcPr>
          <w:p w14:paraId="48AB8849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Executive Director</w:t>
            </w:r>
          </w:p>
        </w:tc>
        <w:tc>
          <w:tcPr>
            <w:tcW w:w="1844" w:type="dxa"/>
          </w:tcPr>
          <w:p w14:paraId="779838E0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Minutes of meetings </w:t>
            </w:r>
          </w:p>
        </w:tc>
        <w:tc>
          <w:tcPr>
            <w:tcW w:w="2551" w:type="dxa"/>
          </w:tcPr>
          <w:p w14:paraId="25CAD9D8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 record of decisions and actions</w:t>
            </w:r>
          </w:p>
        </w:tc>
        <w:tc>
          <w:tcPr>
            <w:tcW w:w="2409" w:type="dxa"/>
          </w:tcPr>
          <w:p w14:paraId="7213FFAB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Board minutes retained indefinitely.</w:t>
            </w:r>
          </w:p>
          <w:p w14:paraId="044438EA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10 years for all other minutes.</w:t>
            </w:r>
          </w:p>
        </w:tc>
        <w:tc>
          <w:tcPr>
            <w:tcW w:w="2911" w:type="dxa"/>
          </w:tcPr>
          <w:p w14:paraId="48480ACD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 xml:space="preserve">Board minutes to be </w:t>
            </w:r>
            <w:r w:rsidRPr="0092097A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archived in the public interest and for historical research purposes in accordance with </w:t>
            </w:r>
            <w:r w:rsidRPr="0092097A"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Article 89(</w:t>
            </w:r>
            <w:r w:rsidRPr="0092097A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1) of the GDPR.</w:t>
            </w:r>
          </w:p>
        </w:tc>
      </w:tr>
      <w:tr w:rsidR="00C9026E" w:rsidRPr="0092097A" w14:paraId="748FBD3F" w14:textId="77777777" w:rsidTr="00952A1B">
        <w:tc>
          <w:tcPr>
            <w:tcW w:w="924" w:type="dxa"/>
          </w:tcPr>
          <w:p w14:paraId="5714D809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61A77" w:rsidRPr="0092097A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14:paraId="55B0BA2B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  <w:tc>
          <w:tcPr>
            <w:tcW w:w="1701" w:type="dxa"/>
          </w:tcPr>
          <w:p w14:paraId="77E2E8D9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Executive Director</w:t>
            </w:r>
          </w:p>
        </w:tc>
        <w:tc>
          <w:tcPr>
            <w:tcW w:w="1844" w:type="dxa"/>
          </w:tcPr>
          <w:p w14:paraId="570BB5E1" w14:textId="190C4CBE" w:rsidR="00C9026E" w:rsidRPr="0092097A" w:rsidRDefault="005C2D51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Business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As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Usual</w:t>
            </w: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9026E"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documents</w:t>
            </w:r>
          </w:p>
        </w:tc>
        <w:tc>
          <w:tcPr>
            <w:tcW w:w="2551" w:type="dxa"/>
          </w:tcPr>
          <w:p w14:paraId="774D6C0D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Papers for meetings, including agendas and reports</w:t>
            </w:r>
          </w:p>
        </w:tc>
        <w:tc>
          <w:tcPr>
            <w:tcW w:w="2409" w:type="dxa"/>
          </w:tcPr>
          <w:p w14:paraId="70371D77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Delete once there is no longer a purpose for retaining the document.</w:t>
            </w:r>
          </w:p>
        </w:tc>
        <w:tc>
          <w:tcPr>
            <w:tcW w:w="2911" w:type="dxa"/>
          </w:tcPr>
          <w:p w14:paraId="0D724A0E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Excludes HR, Finance, papers relating to regulatory action and legal proceedings.</w:t>
            </w:r>
          </w:p>
        </w:tc>
      </w:tr>
      <w:tr w:rsidR="00C9026E" w:rsidRPr="0092097A" w14:paraId="350D5D8B" w14:textId="77777777" w:rsidTr="00952A1B">
        <w:tc>
          <w:tcPr>
            <w:tcW w:w="924" w:type="dxa"/>
          </w:tcPr>
          <w:p w14:paraId="495C02A3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</w:t>
            </w:r>
            <w:r w:rsidR="00C61A77" w:rsidRPr="0092097A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14:paraId="69DDFEA7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Corporate Services</w:t>
            </w:r>
          </w:p>
        </w:tc>
        <w:tc>
          <w:tcPr>
            <w:tcW w:w="1701" w:type="dxa"/>
          </w:tcPr>
          <w:p w14:paraId="047F4BE6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Executive Director</w:t>
            </w:r>
          </w:p>
        </w:tc>
        <w:tc>
          <w:tcPr>
            <w:tcW w:w="1844" w:type="dxa"/>
          </w:tcPr>
          <w:p w14:paraId="228F7A5E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Complaints against qualified tax advisers</w:t>
            </w:r>
            <w:r w:rsidRPr="0092097A"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75562A62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Hard and soft copy formats. </w:t>
            </w:r>
          </w:p>
        </w:tc>
        <w:tc>
          <w:tcPr>
            <w:tcW w:w="2409" w:type="dxa"/>
          </w:tcPr>
          <w:p w14:paraId="05A4E153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 years.</w:t>
            </w:r>
          </w:p>
        </w:tc>
        <w:tc>
          <w:tcPr>
            <w:tcW w:w="2911" w:type="dxa"/>
          </w:tcPr>
          <w:p w14:paraId="2164DA09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Special cases i.e. cases that are likely to </w:t>
            </w:r>
            <w:r w:rsidR="005C2D5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result in </w:t>
            </w: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 tax adviser being expelled from the CIOT/ATT, may be held for longer than 7 years, with periodic reviews.</w:t>
            </w:r>
          </w:p>
        </w:tc>
      </w:tr>
      <w:tr w:rsidR="00C9026E" w:rsidRPr="0092097A" w14:paraId="06DC5175" w14:textId="77777777" w:rsidTr="00952A1B">
        <w:tc>
          <w:tcPr>
            <w:tcW w:w="924" w:type="dxa"/>
          </w:tcPr>
          <w:p w14:paraId="5CCA61E7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61A77" w:rsidRPr="0092097A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452" w:type="dxa"/>
          </w:tcPr>
          <w:p w14:paraId="5B1AD4E6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Corporate Services</w:t>
            </w:r>
          </w:p>
        </w:tc>
        <w:tc>
          <w:tcPr>
            <w:tcW w:w="1701" w:type="dxa"/>
          </w:tcPr>
          <w:p w14:paraId="2F6670AB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Executive Director</w:t>
            </w:r>
          </w:p>
        </w:tc>
        <w:tc>
          <w:tcPr>
            <w:tcW w:w="1844" w:type="dxa"/>
          </w:tcPr>
          <w:p w14:paraId="07FD264B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Complaints against the TDB</w:t>
            </w:r>
            <w:r w:rsidRPr="0092097A">
              <w:rPr>
                <w:rStyle w:val="CommentReferenc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15B2BA61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Hard and soft copy formats.</w:t>
            </w:r>
          </w:p>
        </w:tc>
        <w:tc>
          <w:tcPr>
            <w:tcW w:w="2409" w:type="dxa"/>
          </w:tcPr>
          <w:p w14:paraId="04A4D862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 years.</w:t>
            </w:r>
          </w:p>
        </w:tc>
        <w:tc>
          <w:tcPr>
            <w:tcW w:w="2911" w:type="dxa"/>
          </w:tcPr>
          <w:p w14:paraId="430DE378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Special cases i.e. cases that are likely to lead to legal proceedings, may be held for longer than 7 years, subject to annual review.</w:t>
            </w:r>
          </w:p>
        </w:tc>
      </w:tr>
      <w:tr w:rsidR="00C9026E" w:rsidRPr="0092097A" w14:paraId="099C7A0F" w14:textId="77777777" w:rsidTr="00952A1B">
        <w:tc>
          <w:tcPr>
            <w:tcW w:w="924" w:type="dxa"/>
          </w:tcPr>
          <w:p w14:paraId="4D2DA755" w14:textId="77777777" w:rsidR="00C9026E" w:rsidRPr="0092097A" w:rsidRDefault="00C61A77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</w:p>
        </w:tc>
        <w:tc>
          <w:tcPr>
            <w:tcW w:w="1452" w:type="dxa"/>
          </w:tcPr>
          <w:p w14:paraId="6B7939B3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Corporate Services</w:t>
            </w:r>
          </w:p>
        </w:tc>
        <w:tc>
          <w:tcPr>
            <w:tcW w:w="1701" w:type="dxa"/>
          </w:tcPr>
          <w:p w14:paraId="24A76F5B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Executive Director</w:t>
            </w:r>
          </w:p>
        </w:tc>
        <w:tc>
          <w:tcPr>
            <w:tcW w:w="1844" w:type="dxa"/>
          </w:tcPr>
          <w:p w14:paraId="4667BC1E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Legal proceedings, potential or actual against tax advisers</w:t>
            </w:r>
          </w:p>
        </w:tc>
        <w:tc>
          <w:tcPr>
            <w:tcW w:w="2551" w:type="dxa"/>
          </w:tcPr>
          <w:p w14:paraId="14A89E5F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All relevant documents and case papers. </w:t>
            </w:r>
          </w:p>
        </w:tc>
        <w:tc>
          <w:tcPr>
            <w:tcW w:w="2409" w:type="dxa"/>
          </w:tcPr>
          <w:p w14:paraId="23D06354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 years.</w:t>
            </w:r>
          </w:p>
        </w:tc>
        <w:tc>
          <w:tcPr>
            <w:tcW w:w="2911" w:type="dxa"/>
          </w:tcPr>
          <w:p w14:paraId="0C7F4591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Special cases i.e. cases that are likely to lead to legal proceedings or result in a tax adviser being expelled from the CIOT/ATT, may be held for longer than 7 years, subject to annual review.</w:t>
            </w:r>
          </w:p>
        </w:tc>
      </w:tr>
      <w:tr w:rsidR="00C9026E" w:rsidRPr="0092097A" w14:paraId="79A199B2" w14:textId="77777777" w:rsidTr="00952A1B">
        <w:tc>
          <w:tcPr>
            <w:tcW w:w="924" w:type="dxa"/>
          </w:tcPr>
          <w:p w14:paraId="530355A2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</w:t>
            </w:r>
            <w:r w:rsidR="00C61A77" w:rsidRPr="0092097A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452" w:type="dxa"/>
          </w:tcPr>
          <w:p w14:paraId="41F90CEE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Corporate Services</w:t>
            </w:r>
          </w:p>
        </w:tc>
        <w:tc>
          <w:tcPr>
            <w:tcW w:w="1701" w:type="dxa"/>
          </w:tcPr>
          <w:p w14:paraId="0A71E194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Executive Director</w:t>
            </w:r>
          </w:p>
        </w:tc>
        <w:tc>
          <w:tcPr>
            <w:tcW w:w="1844" w:type="dxa"/>
          </w:tcPr>
          <w:p w14:paraId="4DE79972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Legal proceedings, potential or actual against the TDB</w:t>
            </w:r>
          </w:p>
        </w:tc>
        <w:tc>
          <w:tcPr>
            <w:tcW w:w="2551" w:type="dxa"/>
          </w:tcPr>
          <w:p w14:paraId="48F68A79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All relevant documents and case papers. </w:t>
            </w:r>
          </w:p>
        </w:tc>
        <w:tc>
          <w:tcPr>
            <w:tcW w:w="2409" w:type="dxa"/>
          </w:tcPr>
          <w:p w14:paraId="352B188D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 years from the outcome of proceedings.</w:t>
            </w:r>
          </w:p>
        </w:tc>
        <w:tc>
          <w:tcPr>
            <w:tcW w:w="2911" w:type="dxa"/>
          </w:tcPr>
          <w:p w14:paraId="5159B5D5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Special cases i.e. cases that are likely to lead to further legal proceedings against the TDB, may be held for longer than 7 years, subject to annual review.</w:t>
            </w:r>
          </w:p>
        </w:tc>
      </w:tr>
      <w:tr w:rsidR="00C9026E" w:rsidRPr="0092097A" w14:paraId="7B12CF9A" w14:textId="77777777" w:rsidTr="00952A1B">
        <w:tc>
          <w:tcPr>
            <w:tcW w:w="924" w:type="dxa"/>
          </w:tcPr>
          <w:p w14:paraId="47924264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C61A77" w:rsidRPr="0092097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14:paraId="5109D290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Corporate Services</w:t>
            </w:r>
          </w:p>
        </w:tc>
        <w:tc>
          <w:tcPr>
            <w:tcW w:w="1701" w:type="dxa"/>
          </w:tcPr>
          <w:p w14:paraId="00DFCF29" w14:textId="77777777" w:rsidR="00C9026E" w:rsidRPr="0092097A" w:rsidRDefault="00C9026E" w:rsidP="0092097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sz w:val="24"/>
                <w:szCs w:val="24"/>
              </w:rPr>
              <w:t>Executive Director</w:t>
            </w:r>
          </w:p>
        </w:tc>
        <w:tc>
          <w:tcPr>
            <w:tcW w:w="1844" w:type="dxa"/>
          </w:tcPr>
          <w:p w14:paraId="251AFA24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Legal proceedings, potential or actual against individuals who owe money to the TDB</w:t>
            </w:r>
          </w:p>
        </w:tc>
        <w:tc>
          <w:tcPr>
            <w:tcW w:w="2551" w:type="dxa"/>
          </w:tcPr>
          <w:p w14:paraId="16FAEAEF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All relevant documents and case papers. </w:t>
            </w:r>
          </w:p>
        </w:tc>
        <w:tc>
          <w:tcPr>
            <w:tcW w:w="2409" w:type="dxa"/>
          </w:tcPr>
          <w:p w14:paraId="3313861D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 years from the outcome of proceedings.</w:t>
            </w:r>
          </w:p>
        </w:tc>
        <w:tc>
          <w:tcPr>
            <w:tcW w:w="2911" w:type="dxa"/>
          </w:tcPr>
          <w:p w14:paraId="0F0CD9F9" w14:textId="77777777" w:rsidR="00C9026E" w:rsidRPr="0092097A" w:rsidRDefault="00C9026E" w:rsidP="00952A1B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2097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Special cases i.e. cases that are likely to lead to further legal proceedings by the TDB, may be held for longer than 7 years, subject to annual review.</w:t>
            </w:r>
          </w:p>
        </w:tc>
      </w:tr>
    </w:tbl>
    <w:p w14:paraId="1BB33A9A" w14:textId="77777777" w:rsidR="005700B0" w:rsidRPr="0092097A" w:rsidRDefault="005700B0" w:rsidP="0092097A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5DBD42D" w14:textId="77777777" w:rsidR="00484A24" w:rsidRPr="0092097A" w:rsidRDefault="00484A24" w:rsidP="0092097A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D679EF6" w14:textId="77777777" w:rsidR="00484A24" w:rsidRPr="0092097A" w:rsidRDefault="00484A24" w:rsidP="0092097A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484A24" w:rsidRPr="0092097A" w:rsidSect="009E50B1">
      <w:headerReference w:type="default" r:id="rId19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E4A13" w14:textId="77777777" w:rsidR="00B113C0" w:rsidRDefault="00B113C0" w:rsidP="00BC4461">
      <w:pPr>
        <w:spacing w:after="0" w:line="240" w:lineRule="auto"/>
      </w:pPr>
      <w:r>
        <w:separator/>
      </w:r>
    </w:p>
  </w:endnote>
  <w:endnote w:type="continuationSeparator" w:id="0">
    <w:p w14:paraId="41B97040" w14:textId="77777777" w:rsidR="00B113C0" w:rsidRDefault="00B113C0" w:rsidP="00BC4461">
      <w:pPr>
        <w:spacing w:after="0" w:line="240" w:lineRule="auto"/>
      </w:pPr>
      <w:r>
        <w:continuationSeparator/>
      </w:r>
    </w:p>
  </w:endnote>
  <w:endnote w:type="continuationNotice" w:id="1">
    <w:p w14:paraId="583DCCED" w14:textId="77777777" w:rsidR="00B113C0" w:rsidRDefault="00B113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F1B38" w14:textId="77777777" w:rsidR="00952A1B" w:rsidRDefault="00952A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95529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30E73F7" w14:textId="2463C326" w:rsidR="00952A1B" w:rsidRDefault="00952A1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7978342" w14:textId="77777777" w:rsidR="002E10CD" w:rsidRDefault="002E10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DCDC6" w14:textId="77777777" w:rsidR="00952A1B" w:rsidRDefault="00952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C3DB7" w14:textId="77777777" w:rsidR="00B113C0" w:rsidRDefault="00B113C0" w:rsidP="00BC4461">
      <w:pPr>
        <w:spacing w:after="0" w:line="240" w:lineRule="auto"/>
      </w:pPr>
      <w:r>
        <w:separator/>
      </w:r>
    </w:p>
  </w:footnote>
  <w:footnote w:type="continuationSeparator" w:id="0">
    <w:p w14:paraId="76AAF434" w14:textId="77777777" w:rsidR="00B113C0" w:rsidRDefault="00B113C0" w:rsidP="00BC4461">
      <w:pPr>
        <w:spacing w:after="0" w:line="240" w:lineRule="auto"/>
      </w:pPr>
      <w:r>
        <w:continuationSeparator/>
      </w:r>
    </w:p>
  </w:footnote>
  <w:footnote w:type="continuationNotice" w:id="1">
    <w:p w14:paraId="7729115C" w14:textId="77777777" w:rsidR="00B113C0" w:rsidRDefault="00B113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0A837" w14:textId="77777777" w:rsidR="00952A1B" w:rsidRDefault="00952A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4BFA8" w14:textId="77777777" w:rsidR="00952A1B" w:rsidRDefault="00952A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72F18" w14:textId="77777777" w:rsidR="00952A1B" w:rsidRDefault="00952A1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A0F2D" w14:textId="77777777" w:rsidR="002E10CD" w:rsidRPr="00FA4241" w:rsidRDefault="002E10CD" w:rsidP="00740E63">
    <w:pPr>
      <w:pStyle w:val="Header"/>
      <w:tabs>
        <w:tab w:val="clear" w:pos="4513"/>
        <w:tab w:val="clear" w:pos="9026"/>
        <w:tab w:val="left" w:pos="2926"/>
      </w:tabs>
    </w:pPr>
    <w:r>
      <w:tab/>
    </w:r>
  </w:p>
  <w:tbl>
    <w:tblPr>
      <w:tblStyle w:val="TableGrid"/>
      <w:tblW w:w="13824" w:type="dxa"/>
      <w:tblInd w:w="34" w:type="dxa"/>
      <w:tblBorders>
        <w:top w:val="single" w:sz="36" w:space="0" w:color="auto"/>
        <w:bottom w:val="single" w:sz="36" w:space="0" w:color="auto"/>
      </w:tblBorders>
      <w:tblLayout w:type="fixed"/>
      <w:tblLook w:val="04A0" w:firstRow="1" w:lastRow="0" w:firstColumn="1" w:lastColumn="0" w:noHBand="0" w:noVBand="1"/>
    </w:tblPr>
    <w:tblGrid>
      <w:gridCol w:w="13569"/>
      <w:gridCol w:w="255"/>
    </w:tblGrid>
    <w:tr w:rsidR="002E10CD" w:rsidRPr="00903768" w14:paraId="781B3569" w14:textId="77777777" w:rsidTr="00C9026E">
      <w:tc>
        <w:tcPr>
          <w:tcW w:w="13569" w:type="dxa"/>
          <w:vAlign w:val="center"/>
        </w:tcPr>
        <w:p w14:paraId="35E4DF6E" w14:textId="77B82761" w:rsidR="002E10CD" w:rsidRPr="00E46EC8" w:rsidRDefault="002E10CD" w:rsidP="00740E63">
          <w:pPr>
            <w:tabs>
              <w:tab w:val="center" w:pos="4153"/>
              <w:tab w:val="right" w:pos="8306"/>
            </w:tabs>
            <w:spacing w:after="0" w:line="240" w:lineRule="auto"/>
            <w:ind w:left="34"/>
            <w:jc w:val="center"/>
            <w:rPr>
              <w:rFonts w:ascii="Verdana" w:hAnsi="Verdana"/>
              <w:b/>
              <w:sz w:val="32"/>
              <w:szCs w:val="20"/>
            </w:rPr>
          </w:pPr>
          <w:bookmarkStart w:id="2" w:name="_Hlk46649606"/>
          <w:r>
            <w:rPr>
              <w:rFonts w:ascii="Verdana" w:hAnsi="Verdana"/>
              <w:b/>
              <w:sz w:val="32"/>
              <w:szCs w:val="20"/>
            </w:rPr>
            <w:t>RECORD RETENTION AND DISPOSAL SCHEDULE</w:t>
          </w:r>
        </w:p>
      </w:tc>
      <w:tc>
        <w:tcPr>
          <w:tcW w:w="255" w:type="dxa"/>
          <w:vAlign w:val="center"/>
        </w:tcPr>
        <w:p w14:paraId="285C4DA3" w14:textId="77777777" w:rsidR="002E10CD" w:rsidRPr="00E74FB2" w:rsidRDefault="002E10CD" w:rsidP="00740E63">
          <w:pPr>
            <w:tabs>
              <w:tab w:val="right" w:pos="2444"/>
            </w:tabs>
            <w:spacing w:after="0" w:line="240" w:lineRule="auto"/>
            <w:ind w:left="1167" w:hanging="1167"/>
            <w:rPr>
              <w:rFonts w:ascii="Verdana" w:hAnsi="Verdana"/>
              <w:sz w:val="20"/>
              <w:szCs w:val="20"/>
            </w:rPr>
          </w:pPr>
        </w:p>
      </w:tc>
    </w:tr>
    <w:bookmarkEnd w:id="2"/>
  </w:tbl>
  <w:p w14:paraId="46DCFD1F" w14:textId="77777777" w:rsidR="002E10CD" w:rsidRPr="00FA4241" w:rsidRDefault="002E10CD" w:rsidP="00740E63">
    <w:pPr>
      <w:pStyle w:val="Header"/>
      <w:tabs>
        <w:tab w:val="clear" w:pos="4513"/>
        <w:tab w:val="clear" w:pos="9026"/>
        <w:tab w:val="left" w:pos="29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2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6784"/>
    <w:multiLevelType w:val="hybridMultilevel"/>
    <w:tmpl w:val="00004AE1"/>
    <w:lvl w:ilvl="0" w:tplc="00003D6C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24B271B"/>
    <w:multiLevelType w:val="hybridMultilevel"/>
    <w:tmpl w:val="BEBEEEE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55202"/>
    <w:multiLevelType w:val="hybridMultilevel"/>
    <w:tmpl w:val="BA7E0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50AD1"/>
    <w:multiLevelType w:val="hybridMultilevel"/>
    <w:tmpl w:val="600652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11082"/>
    <w:multiLevelType w:val="multilevel"/>
    <w:tmpl w:val="F9A49D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7" w15:restartNumberingAfterBreak="0">
    <w:nsid w:val="17EB3F13"/>
    <w:multiLevelType w:val="hybridMultilevel"/>
    <w:tmpl w:val="F148F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E2D7A"/>
    <w:multiLevelType w:val="hybridMultilevel"/>
    <w:tmpl w:val="A40A9F1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1B9725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12A72B2"/>
    <w:multiLevelType w:val="hybridMultilevel"/>
    <w:tmpl w:val="56D0F274"/>
    <w:lvl w:ilvl="0" w:tplc="B59E17D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3473"/>
    <w:multiLevelType w:val="multilevel"/>
    <w:tmpl w:val="BFB6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B2688A"/>
    <w:multiLevelType w:val="hybridMultilevel"/>
    <w:tmpl w:val="94E8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5380E"/>
    <w:multiLevelType w:val="hybridMultilevel"/>
    <w:tmpl w:val="64B27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6390F"/>
    <w:multiLevelType w:val="hybridMultilevel"/>
    <w:tmpl w:val="F716CA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B3620"/>
    <w:multiLevelType w:val="hybridMultilevel"/>
    <w:tmpl w:val="40100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2121A"/>
    <w:multiLevelType w:val="hybridMultilevel"/>
    <w:tmpl w:val="4FAE567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1395A"/>
    <w:multiLevelType w:val="multilevel"/>
    <w:tmpl w:val="0B24E482"/>
    <w:lvl w:ilvl="0">
      <w:start w:val="1"/>
      <w:numFmt w:val="bullet"/>
      <w:pStyle w:val="PolicyLevel2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8" w15:restartNumberingAfterBreak="0">
    <w:nsid w:val="6FB54C45"/>
    <w:multiLevelType w:val="multilevel"/>
    <w:tmpl w:val="1A720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422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713A0940"/>
    <w:multiLevelType w:val="hybridMultilevel"/>
    <w:tmpl w:val="FF8426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85A93"/>
    <w:multiLevelType w:val="hybridMultilevel"/>
    <w:tmpl w:val="2132F65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43F14"/>
    <w:multiLevelType w:val="multilevel"/>
    <w:tmpl w:val="B2EE005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PolicyLevel2"/>
      <w:lvlText w:val="%1.%2"/>
      <w:lvlJc w:val="left"/>
      <w:pPr>
        <w:ind w:left="576" w:hanging="576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857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FB4012D"/>
    <w:multiLevelType w:val="hybridMultilevel"/>
    <w:tmpl w:val="830281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3"/>
  </w:num>
  <w:num w:numId="4">
    <w:abstractNumId w:val="20"/>
  </w:num>
  <w:num w:numId="5">
    <w:abstractNumId w:val="16"/>
  </w:num>
  <w:num w:numId="6">
    <w:abstractNumId w:val="3"/>
  </w:num>
  <w:num w:numId="7">
    <w:abstractNumId w:val="22"/>
  </w:num>
  <w:num w:numId="8">
    <w:abstractNumId w:val="5"/>
  </w:num>
  <w:num w:numId="9">
    <w:abstractNumId w:val="19"/>
  </w:num>
  <w:num w:numId="10">
    <w:abstractNumId w:val="10"/>
  </w:num>
  <w:num w:numId="11">
    <w:abstractNumId w:val="4"/>
  </w:num>
  <w:num w:numId="12">
    <w:abstractNumId w:val="14"/>
  </w:num>
  <w:num w:numId="13">
    <w:abstractNumId w:val="21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1"/>
  </w:num>
  <w:num w:numId="19">
    <w:abstractNumId w:val="21"/>
  </w:num>
  <w:num w:numId="20">
    <w:abstractNumId w:val="21"/>
  </w:num>
  <w:num w:numId="21">
    <w:abstractNumId w:val="0"/>
  </w:num>
  <w:num w:numId="22">
    <w:abstractNumId w:val="2"/>
  </w:num>
  <w:num w:numId="23">
    <w:abstractNumId w:val="1"/>
  </w:num>
  <w:num w:numId="24">
    <w:abstractNumId w:val="21"/>
  </w:num>
  <w:num w:numId="25">
    <w:abstractNumId w:val="6"/>
  </w:num>
  <w:num w:numId="26">
    <w:abstractNumId w:val="15"/>
  </w:num>
  <w:num w:numId="27">
    <w:abstractNumId w:val="11"/>
  </w:num>
  <w:num w:numId="28">
    <w:abstractNumId w:val="12"/>
  </w:num>
  <w:num w:numId="29">
    <w:abstractNumId w:val="7"/>
  </w:num>
  <w:num w:numId="30">
    <w:abstractNumId w:val="8"/>
  </w:num>
  <w:num w:numId="31">
    <w:abstractNumId w:val="21"/>
  </w:num>
  <w:num w:numId="32">
    <w:abstractNumId w:val="18"/>
  </w:num>
  <w:num w:numId="33">
    <w:abstractNumId w:val="21"/>
  </w:num>
  <w:num w:numId="34">
    <w:abstractNumId w:val="2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74"/>
    <w:rsid w:val="00000B7C"/>
    <w:rsid w:val="000134D6"/>
    <w:rsid w:val="0002094E"/>
    <w:rsid w:val="0002349C"/>
    <w:rsid w:val="00024052"/>
    <w:rsid w:val="000246C1"/>
    <w:rsid w:val="00025EFE"/>
    <w:rsid w:val="00047729"/>
    <w:rsid w:val="00047C05"/>
    <w:rsid w:val="000517E9"/>
    <w:rsid w:val="00057251"/>
    <w:rsid w:val="0009399C"/>
    <w:rsid w:val="0009402E"/>
    <w:rsid w:val="000B27C2"/>
    <w:rsid w:val="000B47C9"/>
    <w:rsid w:val="000B6901"/>
    <w:rsid w:val="000D378B"/>
    <w:rsid w:val="000D5F0E"/>
    <w:rsid w:val="000E6474"/>
    <w:rsid w:val="000F135B"/>
    <w:rsid w:val="00101EFB"/>
    <w:rsid w:val="00117958"/>
    <w:rsid w:val="001222EF"/>
    <w:rsid w:val="00124FCD"/>
    <w:rsid w:val="0013220A"/>
    <w:rsid w:val="00140BB0"/>
    <w:rsid w:val="00156474"/>
    <w:rsid w:val="00166EDD"/>
    <w:rsid w:val="00167FF1"/>
    <w:rsid w:val="0018262B"/>
    <w:rsid w:val="00185E19"/>
    <w:rsid w:val="0019393C"/>
    <w:rsid w:val="001A4C64"/>
    <w:rsid w:val="001B75E1"/>
    <w:rsid w:val="001B7A43"/>
    <w:rsid w:val="001C29F5"/>
    <w:rsid w:val="001D284E"/>
    <w:rsid w:val="001D69F9"/>
    <w:rsid w:val="001E54F1"/>
    <w:rsid w:val="001E65CD"/>
    <w:rsid w:val="001F46E5"/>
    <w:rsid w:val="00207617"/>
    <w:rsid w:val="002147AC"/>
    <w:rsid w:val="00221526"/>
    <w:rsid w:val="00222943"/>
    <w:rsid w:val="00225B46"/>
    <w:rsid w:val="0023474B"/>
    <w:rsid w:val="0024278E"/>
    <w:rsid w:val="002461B1"/>
    <w:rsid w:val="002529D4"/>
    <w:rsid w:val="00255EF8"/>
    <w:rsid w:val="00261908"/>
    <w:rsid w:val="00264E70"/>
    <w:rsid w:val="002716B3"/>
    <w:rsid w:val="00272D88"/>
    <w:rsid w:val="00276C0E"/>
    <w:rsid w:val="00285BC1"/>
    <w:rsid w:val="002860A9"/>
    <w:rsid w:val="00291BF4"/>
    <w:rsid w:val="002943A3"/>
    <w:rsid w:val="002A0182"/>
    <w:rsid w:val="002A7A62"/>
    <w:rsid w:val="002B02AE"/>
    <w:rsid w:val="002D4716"/>
    <w:rsid w:val="002E10CD"/>
    <w:rsid w:val="002E1D50"/>
    <w:rsid w:val="002E42FC"/>
    <w:rsid w:val="002E43EB"/>
    <w:rsid w:val="002F108E"/>
    <w:rsid w:val="002F1585"/>
    <w:rsid w:val="00304FA0"/>
    <w:rsid w:val="003052C4"/>
    <w:rsid w:val="003108AC"/>
    <w:rsid w:val="00316899"/>
    <w:rsid w:val="0032738F"/>
    <w:rsid w:val="00332508"/>
    <w:rsid w:val="00334394"/>
    <w:rsid w:val="0035485F"/>
    <w:rsid w:val="00354CB5"/>
    <w:rsid w:val="00372F86"/>
    <w:rsid w:val="00380209"/>
    <w:rsid w:val="00382B0F"/>
    <w:rsid w:val="00383F09"/>
    <w:rsid w:val="00395782"/>
    <w:rsid w:val="00395D09"/>
    <w:rsid w:val="003A6569"/>
    <w:rsid w:val="003D2937"/>
    <w:rsid w:val="004071E7"/>
    <w:rsid w:val="00450FA1"/>
    <w:rsid w:val="0045383D"/>
    <w:rsid w:val="0045706D"/>
    <w:rsid w:val="004606A8"/>
    <w:rsid w:val="0046136E"/>
    <w:rsid w:val="00463DD3"/>
    <w:rsid w:val="00473F5E"/>
    <w:rsid w:val="0047428A"/>
    <w:rsid w:val="00480B07"/>
    <w:rsid w:val="00484A24"/>
    <w:rsid w:val="00493501"/>
    <w:rsid w:val="00493FF2"/>
    <w:rsid w:val="004969C0"/>
    <w:rsid w:val="004A2A4C"/>
    <w:rsid w:val="004A5945"/>
    <w:rsid w:val="004B5F4C"/>
    <w:rsid w:val="004C7F1F"/>
    <w:rsid w:val="004D1D5F"/>
    <w:rsid w:val="004E2F8B"/>
    <w:rsid w:val="004E42BE"/>
    <w:rsid w:val="004E652F"/>
    <w:rsid w:val="004F04B4"/>
    <w:rsid w:val="004F4210"/>
    <w:rsid w:val="004F4B4F"/>
    <w:rsid w:val="004F5E88"/>
    <w:rsid w:val="00513C04"/>
    <w:rsid w:val="00513DE9"/>
    <w:rsid w:val="005155CC"/>
    <w:rsid w:val="00532169"/>
    <w:rsid w:val="00535228"/>
    <w:rsid w:val="005450DC"/>
    <w:rsid w:val="00555D3D"/>
    <w:rsid w:val="005605DA"/>
    <w:rsid w:val="005611A8"/>
    <w:rsid w:val="005700B0"/>
    <w:rsid w:val="005C0806"/>
    <w:rsid w:val="005C161D"/>
    <w:rsid w:val="005C2D51"/>
    <w:rsid w:val="005C5925"/>
    <w:rsid w:val="005D753F"/>
    <w:rsid w:val="005F33C9"/>
    <w:rsid w:val="005F5875"/>
    <w:rsid w:val="00602ED0"/>
    <w:rsid w:val="006050C5"/>
    <w:rsid w:val="00607853"/>
    <w:rsid w:val="00607FFD"/>
    <w:rsid w:val="00621A48"/>
    <w:rsid w:val="00624A14"/>
    <w:rsid w:val="00636A0B"/>
    <w:rsid w:val="00640BEC"/>
    <w:rsid w:val="0065764C"/>
    <w:rsid w:val="006921D8"/>
    <w:rsid w:val="006A1433"/>
    <w:rsid w:val="006A331D"/>
    <w:rsid w:val="006C09BB"/>
    <w:rsid w:val="006C637B"/>
    <w:rsid w:val="006D3F2D"/>
    <w:rsid w:val="006E1630"/>
    <w:rsid w:val="006E5FC4"/>
    <w:rsid w:val="006F3970"/>
    <w:rsid w:val="00704DB5"/>
    <w:rsid w:val="0070504C"/>
    <w:rsid w:val="00716E37"/>
    <w:rsid w:val="00720CC2"/>
    <w:rsid w:val="0073398C"/>
    <w:rsid w:val="00740E63"/>
    <w:rsid w:val="00741EE9"/>
    <w:rsid w:val="0074796C"/>
    <w:rsid w:val="007651AF"/>
    <w:rsid w:val="00766CC3"/>
    <w:rsid w:val="007B545C"/>
    <w:rsid w:val="007C4130"/>
    <w:rsid w:val="007D097D"/>
    <w:rsid w:val="007D6F74"/>
    <w:rsid w:val="007F779C"/>
    <w:rsid w:val="00807156"/>
    <w:rsid w:val="008226C8"/>
    <w:rsid w:val="008276DF"/>
    <w:rsid w:val="00827E19"/>
    <w:rsid w:val="00831062"/>
    <w:rsid w:val="00834546"/>
    <w:rsid w:val="00834598"/>
    <w:rsid w:val="00836D71"/>
    <w:rsid w:val="00851BEF"/>
    <w:rsid w:val="0085400C"/>
    <w:rsid w:val="00871EE9"/>
    <w:rsid w:val="008736DB"/>
    <w:rsid w:val="00887F14"/>
    <w:rsid w:val="008A1DC1"/>
    <w:rsid w:val="008B4E82"/>
    <w:rsid w:val="008E4384"/>
    <w:rsid w:val="008F185A"/>
    <w:rsid w:val="008F522D"/>
    <w:rsid w:val="00903768"/>
    <w:rsid w:val="009053E6"/>
    <w:rsid w:val="00915553"/>
    <w:rsid w:val="0092097A"/>
    <w:rsid w:val="0092574B"/>
    <w:rsid w:val="00926A61"/>
    <w:rsid w:val="00927422"/>
    <w:rsid w:val="00931027"/>
    <w:rsid w:val="00936C67"/>
    <w:rsid w:val="00937856"/>
    <w:rsid w:val="009421A6"/>
    <w:rsid w:val="00942452"/>
    <w:rsid w:val="009427AB"/>
    <w:rsid w:val="00952A1B"/>
    <w:rsid w:val="0095620C"/>
    <w:rsid w:val="009667B1"/>
    <w:rsid w:val="00967C0E"/>
    <w:rsid w:val="00973161"/>
    <w:rsid w:val="00976916"/>
    <w:rsid w:val="009962EC"/>
    <w:rsid w:val="009971C9"/>
    <w:rsid w:val="009A7B0D"/>
    <w:rsid w:val="009E50B1"/>
    <w:rsid w:val="009F0A99"/>
    <w:rsid w:val="009F0F3F"/>
    <w:rsid w:val="009F55E6"/>
    <w:rsid w:val="00A000EF"/>
    <w:rsid w:val="00A12045"/>
    <w:rsid w:val="00A141DE"/>
    <w:rsid w:val="00A219B6"/>
    <w:rsid w:val="00A23667"/>
    <w:rsid w:val="00A4150E"/>
    <w:rsid w:val="00A52021"/>
    <w:rsid w:val="00A647E7"/>
    <w:rsid w:val="00A76FC3"/>
    <w:rsid w:val="00A80B49"/>
    <w:rsid w:val="00A85B5C"/>
    <w:rsid w:val="00AC35F1"/>
    <w:rsid w:val="00AD2F24"/>
    <w:rsid w:val="00AD6270"/>
    <w:rsid w:val="00AD72C7"/>
    <w:rsid w:val="00AF3E36"/>
    <w:rsid w:val="00B073C3"/>
    <w:rsid w:val="00B113C0"/>
    <w:rsid w:val="00B14C0D"/>
    <w:rsid w:val="00B27AFE"/>
    <w:rsid w:val="00B3268F"/>
    <w:rsid w:val="00B32FDB"/>
    <w:rsid w:val="00B60E24"/>
    <w:rsid w:val="00B60FAB"/>
    <w:rsid w:val="00B65383"/>
    <w:rsid w:val="00B70ED3"/>
    <w:rsid w:val="00B908E8"/>
    <w:rsid w:val="00B91116"/>
    <w:rsid w:val="00B91D17"/>
    <w:rsid w:val="00BB28CE"/>
    <w:rsid w:val="00BB2CD4"/>
    <w:rsid w:val="00BB725A"/>
    <w:rsid w:val="00BC34BF"/>
    <w:rsid w:val="00BC4461"/>
    <w:rsid w:val="00BC52EE"/>
    <w:rsid w:val="00BE2804"/>
    <w:rsid w:val="00BE3896"/>
    <w:rsid w:val="00BE51F2"/>
    <w:rsid w:val="00C052B7"/>
    <w:rsid w:val="00C06DED"/>
    <w:rsid w:val="00C12D7F"/>
    <w:rsid w:val="00C25A80"/>
    <w:rsid w:val="00C260CB"/>
    <w:rsid w:val="00C34269"/>
    <w:rsid w:val="00C51C3C"/>
    <w:rsid w:val="00C553B9"/>
    <w:rsid w:val="00C55F90"/>
    <w:rsid w:val="00C61A77"/>
    <w:rsid w:val="00C61E87"/>
    <w:rsid w:val="00C9026E"/>
    <w:rsid w:val="00CA529F"/>
    <w:rsid w:val="00CA5C3D"/>
    <w:rsid w:val="00CA622E"/>
    <w:rsid w:val="00CB095E"/>
    <w:rsid w:val="00CB4EA1"/>
    <w:rsid w:val="00CC3D1B"/>
    <w:rsid w:val="00CD2A45"/>
    <w:rsid w:val="00CD3FE8"/>
    <w:rsid w:val="00CE1BA4"/>
    <w:rsid w:val="00CF59B9"/>
    <w:rsid w:val="00D16081"/>
    <w:rsid w:val="00D23097"/>
    <w:rsid w:val="00D34257"/>
    <w:rsid w:val="00D36637"/>
    <w:rsid w:val="00D37A36"/>
    <w:rsid w:val="00D47C8E"/>
    <w:rsid w:val="00D7183A"/>
    <w:rsid w:val="00D93BDF"/>
    <w:rsid w:val="00DA5EBC"/>
    <w:rsid w:val="00DC04C3"/>
    <w:rsid w:val="00DD2698"/>
    <w:rsid w:val="00DE17BD"/>
    <w:rsid w:val="00DF3383"/>
    <w:rsid w:val="00E15883"/>
    <w:rsid w:val="00E20803"/>
    <w:rsid w:val="00E26BD2"/>
    <w:rsid w:val="00E32BD0"/>
    <w:rsid w:val="00E331C5"/>
    <w:rsid w:val="00E43FFA"/>
    <w:rsid w:val="00E44165"/>
    <w:rsid w:val="00E46EC8"/>
    <w:rsid w:val="00E57A4D"/>
    <w:rsid w:val="00E642B0"/>
    <w:rsid w:val="00E66D59"/>
    <w:rsid w:val="00E74FB2"/>
    <w:rsid w:val="00E8372F"/>
    <w:rsid w:val="00EA2AF9"/>
    <w:rsid w:val="00EA36F8"/>
    <w:rsid w:val="00EB0865"/>
    <w:rsid w:val="00EB4A27"/>
    <w:rsid w:val="00EE6E83"/>
    <w:rsid w:val="00F10ECA"/>
    <w:rsid w:val="00F34647"/>
    <w:rsid w:val="00F418C4"/>
    <w:rsid w:val="00F55636"/>
    <w:rsid w:val="00F577B0"/>
    <w:rsid w:val="00F624A7"/>
    <w:rsid w:val="00F65651"/>
    <w:rsid w:val="00F72A1E"/>
    <w:rsid w:val="00F76FC5"/>
    <w:rsid w:val="00F92D43"/>
    <w:rsid w:val="00FA4241"/>
    <w:rsid w:val="00FA6721"/>
    <w:rsid w:val="00FB18AC"/>
    <w:rsid w:val="00FB5822"/>
    <w:rsid w:val="00FC0111"/>
    <w:rsid w:val="00FD05B9"/>
    <w:rsid w:val="00FD659B"/>
    <w:rsid w:val="00FE2B1F"/>
    <w:rsid w:val="00FE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CB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F74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DA5EBC"/>
    <w:pPr>
      <w:keepNext/>
      <w:keepLines/>
      <w:numPr>
        <w:numId w:val="34"/>
      </w:numPr>
      <w:spacing w:before="480" w:after="0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2"/>
    <w:qFormat/>
    <w:rsid w:val="00DA5EBC"/>
    <w:pPr>
      <w:keepNext/>
      <w:keepLines/>
      <w:spacing w:before="200" w:after="0"/>
      <w:outlineLvl w:val="1"/>
    </w:pPr>
    <w:rPr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DA5EBC"/>
    <w:pPr>
      <w:keepNext/>
      <w:keepLines/>
      <w:spacing w:before="200" w:after="0"/>
      <w:outlineLvl w:val="2"/>
    </w:pPr>
    <w:rPr>
      <w:bCs/>
    </w:rPr>
  </w:style>
  <w:style w:type="paragraph" w:styleId="Heading4">
    <w:name w:val="heading 4"/>
    <w:basedOn w:val="Normal"/>
    <w:next w:val="Normal"/>
    <w:link w:val="Heading4Char"/>
    <w:uiPriority w:val="2"/>
    <w:qFormat/>
    <w:rsid w:val="00DA5EBC"/>
    <w:pPr>
      <w:keepNext/>
      <w:keepLines/>
      <w:spacing w:before="200" w:after="0"/>
      <w:outlineLvl w:val="3"/>
    </w:pPr>
    <w:rPr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32169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EBC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EBC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EBC"/>
    <w:pPr>
      <w:keepNext/>
      <w:keepLines/>
      <w:spacing w:before="200" w:after="0"/>
      <w:outlineLvl w:val="7"/>
    </w:pPr>
    <w:rPr>
      <w:rFonts w:ascii="Cambria" w:hAnsi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EBC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461"/>
  </w:style>
  <w:style w:type="paragraph" w:styleId="Footer">
    <w:name w:val="footer"/>
    <w:basedOn w:val="Normal"/>
    <w:link w:val="FooterChar"/>
    <w:uiPriority w:val="99"/>
    <w:unhideWhenUsed/>
    <w:rsid w:val="00BC4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D43"/>
    <w:rPr>
      <w:rFonts w:ascii="Verdana" w:hAnsi="Verdana"/>
      <w:szCs w:val="22"/>
      <w:lang w:eastAsia="en-US"/>
    </w:rPr>
  </w:style>
  <w:style w:type="table" w:styleId="TableGrid">
    <w:name w:val="Table Grid"/>
    <w:basedOn w:val="TableNormal"/>
    <w:uiPriority w:val="39"/>
    <w:rsid w:val="00BC4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rsid w:val="00DA5EBC"/>
    <w:pPr>
      <w:spacing w:after="300" w:line="240" w:lineRule="auto"/>
      <w:contextualSpacing/>
    </w:pPr>
    <w:rPr>
      <w:b/>
      <w:spacing w:val="5"/>
      <w:kern w:val="28"/>
      <w:sz w:val="32"/>
      <w:szCs w:val="52"/>
    </w:rPr>
  </w:style>
  <w:style w:type="character" w:customStyle="1" w:styleId="TitleChar">
    <w:name w:val="Title Char"/>
    <w:link w:val="Title"/>
    <w:uiPriority w:val="2"/>
    <w:rsid w:val="00F92D43"/>
    <w:rPr>
      <w:rFonts w:ascii="Verdana" w:eastAsia="Times New Roman" w:hAnsi="Verdana"/>
      <w:b/>
      <w:spacing w:val="5"/>
      <w:kern w:val="28"/>
      <w:sz w:val="32"/>
      <w:szCs w:val="52"/>
    </w:rPr>
  </w:style>
  <w:style w:type="character" w:styleId="PlaceholderText">
    <w:name w:val="Placeholder Text"/>
    <w:uiPriority w:val="99"/>
    <w:semiHidden/>
    <w:rsid w:val="0053216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2169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2"/>
    <w:rsid w:val="00F92D43"/>
    <w:rPr>
      <w:rFonts w:ascii="Verdana" w:eastAsia="Times New Roman" w:hAnsi="Verdana"/>
      <w:b/>
      <w:bCs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532169"/>
    <w:pPr>
      <w:ind w:left="720"/>
      <w:contextualSpacing/>
    </w:pPr>
  </w:style>
  <w:style w:type="character" w:customStyle="1" w:styleId="Heading2Char">
    <w:name w:val="Heading 2 Char"/>
    <w:link w:val="Heading2"/>
    <w:uiPriority w:val="2"/>
    <w:rsid w:val="00F92D43"/>
    <w:rPr>
      <w:rFonts w:ascii="Verdana" w:eastAsia="Times New Roman" w:hAnsi="Verdana"/>
      <w:b/>
      <w:bCs/>
      <w:i/>
      <w:szCs w:val="26"/>
    </w:rPr>
  </w:style>
  <w:style w:type="character" w:customStyle="1" w:styleId="Heading3Char">
    <w:name w:val="Heading 3 Char"/>
    <w:link w:val="Heading3"/>
    <w:uiPriority w:val="2"/>
    <w:rsid w:val="00F92D43"/>
    <w:rPr>
      <w:rFonts w:ascii="Verdana" w:eastAsia="Times New Roman" w:hAnsi="Verdana"/>
      <w:bCs/>
      <w:szCs w:val="22"/>
      <w:lang w:eastAsia="en-US"/>
    </w:rPr>
  </w:style>
  <w:style w:type="character" w:customStyle="1" w:styleId="Heading4Char">
    <w:name w:val="Heading 4 Char"/>
    <w:link w:val="Heading4"/>
    <w:uiPriority w:val="2"/>
    <w:rsid w:val="00F92D43"/>
    <w:rPr>
      <w:rFonts w:ascii="Verdana" w:eastAsia="Times New Roman" w:hAnsi="Verdana"/>
      <w:bCs/>
      <w:i/>
      <w:iCs/>
      <w:szCs w:val="22"/>
      <w:lang w:eastAsia="en-US"/>
    </w:rPr>
  </w:style>
  <w:style w:type="character" w:customStyle="1" w:styleId="Heading5Char">
    <w:name w:val="Heading 5 Char"/>
    <w:link w:val="Heading5"/>
    <w:uiPriority w:val="9"/>
    <w:semiHidden/>
    <w:rsid w:val="00532169"/>
    <w:rPr>
      <w:rFonts w:ascii="Cambria" w:eastAsia="Times New Roman" w:hAnsi="Cambria" w:cs="Times New Roman"/>
      <w:color w:val="243F60"/>
      <w:sz w:val="20"/>
    </w:rPr>
  </w:style>
  <w:style w:type="character" w:customStyle="1" w:styleId="Heading6Char">
    <w:name w:val="Heading 6 Char"/>
    <w:link w:val="Heading6"/>
    <w:uiPriority w:val="9"/>
    <w:semiHidden/>
    <w:rsid w:val="00DA5EBC"/>
    <w:rPr>
      <w:rFonts w:ascii="Cambria" w:eastAsia="Times New Roman" w:hAnsi="Cambria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DA5EBC"/>
    <w:rPr>
      <w:rFonts w:ascii="Cambria" w:eastAsia="Times New Roman" w:hAnsi="Cambria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DA5EBC"/>
    <w:rPr>
      <w:rFonts w:ascii="Cambria" w:eastAsia="Times New Roman" w:hAnsi="Cambria"/>
      <w:color w:val="404040"/>
    </w:rPr>
  </w:style>
  <w:style w:type="character" w:customStyle="1" w:styleId="Heading9Char">
    <w:name w:val="Heading 9 Char"/>
    <w:link w:val="Heading9"/>
    <w:uiPriority w:val="9"/>
    <w:semiHidden/>
    <w:rsid w:val="00DA5EBC"/>
    <w:rPr>
      <w:rFonts w:ascii="Cambria" w:eastAsia="Times New Roman" w:hAnsi="Cambria"/>
      <w:i/>
      <w:iCs/>
      <w:color w:val="404040"/>
    </w:rPr>
  </w:style>
  <w:style w:type="character" w:styleId="Hyperlink">
    <w:name w:val="Hyperlink"/>
    <w:uiPriority w:val="4"/>
    <w:qFormat/>
    <w:rsid w:val="00DA5EBC"/>
    <w:rPr>
      <w:color w:val="009EE3"/>
      <w:u w:val="single"/>
    </w:rPr>
  </w:style>
  <w:style w:type="paragraph" w:customStyle="1" w:styleId="Heading">
    <w:name w:val="Heading"/>
    <w:basedOn w:val="Normal"/>
    <w:next w:val="Normal"/>
    <w:link w:val="HeadingChar"/>
    <w:uiPriority w:val="5"/>
    <w:unhideWhenUsed/>
    <w:qFormat/>
    <w:rsid w:val="00DA5EBC"/>
    <w:rPr>
      <w:b/>
      <w:i/>
    </w:rPr>
  </w:style>
  <w:style w:type="paragraph" w:styleId="NoSpacing">
    <w:name w:val="No Spacing"/>
    <w:link w:val="NoSpacingChar"/>
    <w:uiPriority w:val="1"/>
    <w:qFormat/>
    <w:rsid w:val="00DA5EBC"/>
    <w:rPr>
      <w:rFonts w:ascii="Verdana" w:hAnsi="Verdana"/>
      <w:szCs w:val="22"/>
      <w:lang w:eastAsia="en-US"/>
    </w:rPr>
  </w:style>
  <w:style w:type="character" w:customStyle="1" w:styleId="HeadingChar">
    <w:name w:val="Heading Char"/>
    <w:link w:val="Heading"/>
    <w:uiPriority w:val="5"/>
    <w:rsid w:val="00F92D43"/>
    <w:rPr>
      <w:rFonts w:ascii="Verdana" w:hAnsi="Verdana"/>
      <w:b/>
      <w:i/>
      <w:szCs w:val="22"/>
      <w:lang w:eastAsia="en-US"/>
    </w:rPr>
  </w:style>
  <w:style w:type="table" w:customStyle="1" w:styleId="ITGTable">
    <w:name w:val="ITG Table"/>
    <w:basedOn w:val="TableNormal"/>
    <w:uiPriority w:val="99"/>
    <w:rsid w:val="00024052"/>
    <w:rPr>
      <w:rFonts w:ascii="Verdana" w:hAnsi="Verdana"/>
    </w:rPr>
    <w:tblPr>
      <w:tblBorders>
        <w:top w:val="single" w:sz="4" w:space="0" w:color="5E6060"/>
        <w:left w:val="single" w:sz="4" w:space="0" w:color="5E6060"/>
        <w:bottom w:val="single" w:sz="4" w:space="0" w:color="5E6060"/>
        <w:right w:val="single" w:sz="4" w:space="0" w:color="5E6060"/>
        <w:insideH w:val="single" w:sz="4" w:space="0" w:color="5E6060"/>
        <w:insideV w:val="single" w:sz="4" w:space="0" w:color="5E6060"/>
      </w:tblBorders>
    </w:tblPr>
    <w:tblStylePr w:type="firstRow">
      <w:rPr>
        <w:b/>
        <w:color w:val="FFFFFF"/>
      </w:rPr>
      <w:tblPr/>
      <w:tcPr>
        <w:shd w:val="clear" w:color="auto" w:fill="5E6060"/>
      </w:tcPr>
    </w:tblStylePr>
  </w:style>
  <w:style w:type="paragraph" w:styleId="Subtitle">
    <w:name w:val="Subtitle"/>
    <w:basedOn w:val="Normal"/>
    <w:next w:val="Normal"/>
    <w:link w:val="SubtitleChar"/>
    <w:uiPriority w:val="3"/>
    <w:qFormat/>
    <w:rsid w:val="00DA5EBC"/>
    <w:pPr>
      <w:numPr>
        <w:ilvl w:val="1"/>
      </w:numPr>
      <w:spacing w:after="160"/>
    </w:pPr>
    <w:rPr>
      <w:rFonts w:eastAsiaTheme="minorEastAsia" w:cstheme="minorBidi"/>
      <w:b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rsid w:val="00F92D43"/>
    <w:rPr>
      <w:rFonts w:ascii="Verdana" w:eastAsiaTheme="minorEastAsia" w:hAnsi="Verdana" w:cstheme="minorBidi"/>
      <w:b/>
      <w:color w:val="5A5A5A" w:themeColor="text1" w:themeTint="A5"/>
      <w:spacing w:val="15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DA5EB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DA5E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EBC"/>
    <w:rPr>
      <w:rFonts w:ascii="Verdana" w:hAnsi="Verdana"/>
      <w:i/>
      <w:iCs/>
      <w:color w:val="404040" w:themeColor="text1" w:themeTint="BF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EBC"/>
    <w:pPr>
      <w:pBdr>
        <w:top w:val="single" w:sz="4" w:space="10" w:color="009EE3"/>
        <w:bottom w:val="single" w:sz="4" w:space="10" w:color="009EE3"/>
      </w:pBdr>
      <w:spacing w:before="360" w:after="360"/>
      <w:ind w:left="864" w:right="864"/>
      <w:jc w:val="center"/>
    </w:pPr>
    <w:rPr>
      <w:i/>
      <w:iCs/>
      <w:color w:val="009EE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EBC"/>
    <w:rPr>
      <w:rFonts w:ascii="Verdana" w:hAnsi="Verdana"/>
      <w:i/>
      <w:iCs/>
      <w:color w:val="009EE3"/>
      <w:szCs w:val="22"/>
      <w:lang w:eastAsia="en-US"/>
    </w:rPr>
  </w:style>
  <w:style w:type="character" w:styleId="SubtleReference">
    <w:name w:val="Subtle Reference"/>
    <w:basedOn w:val="DefaultParagraphFont"/>
    <w:uiPriority w:val="31"/>
    <w:qFormat/>
    <w:rsid w:val="00DA5EBC"/>
    <w:rPr>
      <w:smallCaps/>
      <w:color w:val="5A5A5A" w:themeColor="text1" w:themeTint="A5"/>
    </w:rPr>
  </w:style>
  <w:style w:type="paragraph" w:customStyle="1" w:styleId="Code">
    <w:name w:val="Code"/>
    <w:basedOn w:val="NoSpacing"/>
    <w:link w:val="CodeChar"/>
    <w:uiPriority w:val="4"/>
    <w:qFormat/>
    <w:rsid w:val="00DA5EBC"/>
    <w:pPr>
      <w:shd w:val="clear" w:color="auto" w:fill="F2F2F2" w:themeFill="background1" w:themeFillShade="F2"/>
      <w:ind w:left="567" w:right="567"/>
      <w:mirrorIndents/>
    </w:pPr>
    <w:rPr>
      <w:rFonts w:ascii="Courier New" w:hAnsi="Courier New" w:cs="Courier New"/>
      <w:noProof/>
    </w:rPr>
  </w:style>
  <w:style w:type="character" w:styleId="IntenseReference">
    <w:name w:val="Intense Reference"/>
    <w:basedOn w:val="DefaultParagraphFont"/>
    <w:uiPriority w:val="32"/>
    <w:qFormat/>
    <w:rsid w:val="00DA5EBC"/>
    <w:rPr>
      <w:b/>
      <w:bCs/>
      <w:smallCaps/>
      <w:color w:val="009EE3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F92D43"/>
    <w:rPr>
      <w:rFonts w:ascii="Verdana" w:hAnsi="Verdana"/>
      <w:szCs w:val="22"/>
      <w:lang w:eastAsia="en-US"/>
    </w:rPr>
  </w:style>
  <w:style w:type="character" w:customStyle="1" w:styleId="CodeChar">
    <w:name w:val="Code Char"/>
    <w:basedOn w:val="NoSpacingChar"/>
    <w:link w:val="Code"/>
    <w:uiPriority w:val="4"/>
    <w:rsid w:val="00F92D43"/>
    <w:rPr>
      <w:rFonts w:ascii="Courier New" w:hAnsi="Courier New" w:cs="Courier New"/>
      <w:noProof/>
      <w:szCs w:val="22"/>
      <w:shd w:val="clear" w:color="auto" w:fill="F2F2F2" w:themeFill="background1" w:themeFillShade="F2"/>
      <w:lang w:eastAsia="en-US"/>
    </w:rPr>
  </w:style>
  <w:style w:type="paragraph" w:customStyle="1" w:styleId="FilePath">
    <w:name w:val="File Path"/>
    <w:basedOn w:val="Normal"/>
    <w:next w:val="Normal"/>
    <w:link w:val="FilePathChar"/>
    <w:uiPriority w:val="6"/>
    <w:qFormat/>
    <w:rsid w:val="00DA5EBC"/>
    <w:rPr>
      <w:rFonts w:ascii="Courier New" w:hAnsi="Courier New" w:cs="Courier New"/>
    </w:rPr>
  </w:style>
  <w:style w:type="paragraph" w:customStyle="1" w:styleId="DocumentPath">
    <w:name w:val="Document Path"/>
    <w:basedOn w:val="Normal"/>
    <w:link w:val="DocumentPathChar"/>
    <w:uiPriority w:val="99"/>
    <w:unhideWhenUsed/>
    <w:qFormat/>
    <w:rsid w:val="00DA5EBC"/>
    <w:pPr>
      <w:shd w:val="clear" w:color="auto" w:fill="F2F2F2" w:themeFill="background1" w:themeFillShade="F2"/>
    </w:pPr>
    <w:rPr>
      <w:noProof/>
    </w:rPr>
  </w:style>
  <w:style w:type="character" w:customStyle="1" w:styleId="FilePathChar">
    <w:name w:val="File Path Char"/>
    <w:basedOn w:val="DefaultParagraphFont"/>
    <w:link w:val="FilePath"/>
    <w:uiPriority w:val="6"/>
    <w:rsid w:val="00F92D43"/>
    <w:rPr>
      <w:rFonts w:ascii="Courier New" w:hAnsi="Courier New" w:cs="Courier New"/>
      <w:szCs w:val="22"/>
      <w:lang w:eastAsia="en-US"/>
    </w:rPr>
  </w:style>
  <w:style w:type="character" w:customStyle="1" w:styleId="DocumentPathChar">
    <w:name w:val="Document Path Char"/>
    <w:basedOn w:val="DefaultParagraphFont"/>
    <w:link w:val="DocumentPath"/>
    <w:uiPriority w:val="99"/>
    <w:rsid w:val="00F92D43"/>
    <w:rPr>
      <w:rFonts w:ascii="Verdana" w:hAnsi="Verdana"/>
      <w:noProof/>
      <w:szCs w:val="22"/>
      <w:shd w:val="clear" w:color="auto" w:fill="F2F2F2" w:themeFill="background1" w:themeFillShade="F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4E8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E2B1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484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484A24"/>
    <w:rPr>
      <w:rFonts w:ascii="Arial" w:eastAsiaTheme="minorEastAsia" w:hAnsi="Arial" w:cs="Arial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484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84A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4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4A24"/>
    <w:rPr>
      <w:rFonts w:ascii="Arial" w:eastAsiaTheme="minorEastAsia" w:hAnsi="Arial" w:cs="Arial"/>
    </w:rPr>
  </w:style>
  <w:style w:type="paragraph" w:styleId="NormalWeb">
    <w:name w:val="Normal (Web)"/>
    <w:basedOn w:val="Normal"/>
    <w:uiPriority w:val="99"/>
    <w:unhideWhenUsed/>
    <w:rsid w:val="00484A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569"/>
    <w:pPr>
      <w:widowControl/>
      <w:autoSpaceDE/>
      <w:autoSpaceDN/>
      <w:adjustRightInd/>
      <w:spacing w:after="200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569"/>
    <w:rPr>
      <w:rFonts w:ascii="Arial" w:eastAsia="Times New Roman" w:hAnsi="Arial" w:cs="Arial"/>
      <w:b/>
      <w:bCs/>
    </w:rPr>
  </w:style>
  <w:style w:type="paragraph" w:styleId="Revision">
    <w:name w:val="Revision"/>
    <w:hidden/>
    <w:uiPriority w:val="99"/>
    <w:semiHidden/>
    <w:rsid w:val="003A6569"/>
    <w:rPr>
      <w:rFonts w:eastAsia="Times New Roman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4C0D"/>
    <w:rPr>
      <w:color w:val="605E5C"/>
      <w:shd w:val="clear" w:color="auto" w:fill="E1DFDD"/>
    </w:rPr>
  </w:style>
  <w:style w:type="paragraph" w:customStyle="1" w:styleId="PolicyLevel1">
    <w:name w:val="Policy Level 1"/>
    <w:basedOn w:val="Heading1"/>
    <w:link w:val="PolicyLevel1Char"/>
    <w:qFormat/>
    <w:rsid w:val="00CA5C3D"/>
    <w:pPr>
      <w:keepNext w:val="0"/>
      <w:keepLines w:val="0"/>
      <w:spacing w:after="120" w:line="240" w:lineRule="auto"/>
      <w:ind w:left="720" w:hanging="720"/>
      <w:jc w:val="both"/>
    </w:pPr>
    <w:rPr>
      <w:rFonts w:cs="Calibri"/>
      <w:sz w:val="24"/>
      <w:szCs w:val="24"/>
      <w:lang w:val="x-none"/>
    </w:rPr>
  </w:style>
  <w:style w:type="character" w:customStyle="1" w:styleId="PolicyLevel1Char">
    <w:name w:val="Policy Level 1 Char"/>
    <w:link w:val="PolicyLevel1"/>
    <w:rsid w:val="00CA5C3D"/>
    <w:rPr>
      <w:rFonts w:eastAsia="Times New Roman" w:cs="Calibri"/>
      <w:b/>
      <w:bCs/>
      <w:sz w:val="24"/>
      <w:szCs w:val="24"/>
      <w:lang w:val="x-none"/>
    </w:rPr>
  </w:style>
  <w:style w:type="paragraph" w:customStyle="1" w:styleId="PolicyLevel2">
    <w:name w:val="Policy Level 2"/>
    <w:basedOn w:val="Normal"/>
    <w:link w:val="PolicyLevel2Char"/>
    <w:qFormat/>
    <w:rsid w:val="00207617"/>
    <w:pPr>
      <w:numPr>
        <w:ilvl w:val="1"/>
        <w:numId w:val="34"/>
      </w:numPr>
      <w:spacing w:before="80" w:after="80" w:line="240" w:lineRule="auto"/>
      <w:ind w:left="720" w:hanging="720"/>
      <w:jc w:val="both"/>
      <w:outlineLvl w:val="1"/>
    </w:pPr>
    <w:rPr>
      <w:rFonts w:eastAsia="Arial Unicode MS" w:cs="Calibri"/>
      <w:color w:val="000000"/>
      <w:sz w:val="24"/>
      <w:szCs w:val="24"/>
      <w:lang w:eastAsia="en-US"/>
    </w:rPr>
  </w:style>
  <w:style w:type="character" w:customStyle="1" w:styleId="PolicyLevel2Char">
    <w:name w:val="Policy Level 2 Char"/>
    <w:link w:val="PolicyLevel2"/>
    <w:rsid w:val="00207617"/>
    <w:rPr>
      <w:rFonts w:eastAsia="Arial Unicode MS" w:cs="Calibri"/>
      <w:color w:val="000000"/>
      <w:sz w:val="24"/>
      <w:szCs w:val="24"/>
      <w:lang w:eastAsia="en-US"/>
    </w:rPr>
  </w:style>
  <w:style w:type="paragraph" w:customStyle="1" w:styleId="PolicyLevel2bullet">
    <w:name w:val="Policy Level 2 bullet"/>
    <w:basedOn w:val="ListParagraph"/>
    <w:link w:val="PolicyLevel2bulletChar"/>
    <w:qFormat/>
    <w:rsid w:val="00555D3D"/>
    <w:pPr>
      <w:numPr>
        <w:numId w:val="35"/>
      </w:numPr>
      <w:spacing w:before="120" w:after="120" w:line="240" w:lineRule="auto"/>
      <w:ind w:left="1077" w:hanging="357"/>
      <w:contextualSpacing w:val="0"/>
      <w:jc w:val="both"/>
    </w:pPr>
    <w:rPr>
      <w:rFonts w:cs="Calibri"/>
      <w:sz w:val="24"/>
      <w:szCs w:val="24"/>
      <w:lang w:eastAsia="en-US"/>
    </w:rPr>
  </w:style>
  <w:style w:type="character" w:customStyle="1" w:styleId="PolicyLevel2bulletChar">
    <w:name w:val="Policy Level 2 bullet Char"/>
    <w:link w:val="PolicyLevel2bullet"/>
    <w:rsid w:val="00555D3D"/>
    <w:rPr>
      <w:rFonts w:eastAsia="Times New Roman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MS-Classification xmlns="070b2c22-0464-4912-acf9-14244d9bca1e">Confidential</ISMS-Classification>
    <BMS-OwnerRole xmlns="070b2c22-0464-4912-acf9-14244d9bca1e">Unknown</BMS-OwnerRole>
    <BMS-DocType xmlns="070b2c22-0464-4912-acf9-14244d9bca1e">-</BMS-DocType>
    <BMS-ReviewInterval xmlns="070b2c22-0464-4912-acf9-14244d9bca1e">12</BMS-ReviewInterval>
    <BMS-Integrated xmlns="070b2c22-0464-4912-acf9-14244d9bca1e">false</BMS-Integrated>
    <BMS-DocNum xmlns="070b2c22-0464-4912-acf9-14244d9bca1e" xsi:nil="true"/>
    <BMS-Reviewed xmlns="070b2c22-0464-4912-acf9-14244d9bca1e">2016-12-06T17:53:50+00:00</BMS-Reviewed>
    <BMS-Approver xmlns="070b2c22-0464-4912-acf9-14244d9bca1e">Unknown</BMS-Approv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ITG BMS Document" ma:contentTypeID="0x0101000B1B1200EB32FD4F9D5CA4BF31A20D5A007159CFA7A9C97B4BA3AFF7E7594D5E09" ma:contentTypeVersion="50" ma:contentTypeDescription="Document that is intended to be managed as part of ITG's business management system." ma:contentTypeScope="" ma:versionID="ed1d5bc3d9a7527e104f16245bc23db6">
  <xsd:schema xmlns:xsd="http://www.w3.org/2001/XMLSchema" xmlns:xs="http://www.w3.org/2001/XMLSchema" xmlns:p="http://schemas.microsoft.com/office/2006/metadata/properties" xmlns:ns1="070b2c22-0464-4912-acf9-14244d9bca1e" xmlns:ns2="http://schemas.microsoft.com/sharepoint/v3" xmlns:ns3="53c89c48-b1a3-40aa-b63b-9fe81b9f94ae" xmlns:ns4="d505b0e3-cb7d-4de3-a368-f404dfec2f0a" targetNamespace="http://schemas.microsoft.com/office/2006/metadata/properties" ma:root="true" ma:fieldsID="66b9f2e7cc116e318063bc5828b38cc9" ns1:_="" ns2:_="" ns3:_="" ns4:_="">
    <xsd:import namespace="070b2c22-0464-4912-acf9-14244d9bca1e"/>
    <xsd:import namespace="http://schemas.microsoft.com/sharepoint/v3"/>
    <xsd:import namespace="53c89c48-b1a3-40aa-b63b-9fe81b9f94ae"/>
    <xsd:import namespace="d505b0e3-cb7d-4de3-a368-f404dfec2f0a"/>
    <xsd:element name="properties">
      <xsd:complexType>
        <xsd:sequence>
          <xsd:element name="documentManagement">
            <xsd:complexType>
              <xsd:all>
                <xsd:element ref="ns1:BMS-Integrated" minOccurs="0"/>
                <xsd:element ref="ns1:ISMS-Classification" minOccurs="0"/>
                <xsd:element ref="ns1:BMS-DocNum" minOccurs="0"/>
                <xsd:element ref="ns1:BMS-DocType" minOccurs="0"/>
                <xsd:element ref="ns1:BMS-OwnerRole" minOccurs="0"/>
                <xsd:element ref="ns1:BMS-Approver" minOccurs="0"/>
                <xsd:element ref="ns1:BMS-Reviewed" minOccurs="0"/>
                <xsd:element ref="ns1:BMS-ReviewInterval" minOccurs="0"/>
                <xsd:element ref="ns2:_dlc_ExpireDateSaved" minOccurs="0"/>
                <xsd:element ref="ns2:_dlc_ExpireDate" minOccurs="0"/>
                <xsd:element ref="ns1:SharedWithUsers" minOccurs="0"/>
                <xsd:element ref="ns3:SharedWithDetails" minOccurs="0"/>
                <xsd:element ref="ns1:LastSharedByUser" minOccurs="0"/>
                <xsd:element ref="ns1:LastSharedByTime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b2c22-0464-4912-acf9-14244d9bca1e" elementFormDefault="qualified">
    <xsd:import namespace="http://schemas.microsoft.com/office/2006/documentManagement/types"/>
    <xsd:import namespace="http://schemas.microsoft.com/office/infopath/2007/PartnerControls"/>
    <xsd:element name="BMS-Integrated" ma:index="0" nillable="true" ma:displayName="BMS-Integrated" ma:default="0" ma:description="Indicates whether this document is managed as part of the Business Management System." ma:internalName="BMS_x002d_Integrated">
      <xsd:simpleType>
        <xsd:restriction base="dms:Boolean"/>
      </xsd:simpleType>
    </xsd:element>
    <xsd:element name="ISMS-Classification" ma:index="2" nillable="true" ma:displayName="ISMS-Classification" ma:default="Confidential" ma:description="Document security classification, e.g. Public, Confidential or Restricted.  Restricted classification must include who it's restricted to. e.g. Restricted(ITGP)." ma:internalName="ISMS_x002d_Classification">
      <xsd:simpleType>
        <xsd:restriction base="dms:Text">
          <xsd:maxLength value="50"/>
        </xsd:restriction>
      </xsd:simpleType>
    </xsd:element>
    <xsd:element name="BMS-DocNum" ma:index="4" nillable="true" ma:displayName="BMS-DocNum" ma:description="With the BMS-DocType uniquely identifies the document within the BMS." ma:internalName="BMS_x002d_DocNum">
      <xsd:simpleType>
        <xsd:restriction base="dms:Text">
          <xsd:maxLength value="15"/>
        </xsd:restriction>
      </xsd:simpleType>
    </xsd:element>
    <xsd:element name="BMS-DocType" ma:index="5" nillable="true" ma:displayName="BMS-DocType" ma:default="-" ma:description="Identifies the type of document within the BMS." ma:format="Dropdown" ma:internalName="BMS_x002d_DocType">
      <xsd:simpleType>
        <xsd:restriction base="dms:Choice">
          <xsd:enumeration value="-"/>
          <xsd:enumeration value="Manual"/>
          <xsd:enumeration value="Policy"/>
          <xsd:enumeration value="Procedure"/>
          <xsd:enumeration value="Instruction"/>
          <xsd:enumeration value="Record"/>
          <xsd:enumeration value="Template"/>
        </xsd:restriction>
      </xsd:simpleType>
    </xsd:element>
    <xsd:element name="BMS-OwnerRole" ma:index="6" nillable="true" ma:displayName="BMS-OwnerRole" ma:default="Unknown" ma:description="Indicates which role owns this document." ma:internalName="BMS_x002d_OwnerRole">
      <xsd:simpleType>
        <xsd:restriction base="dms:Text">
          <xsd:maxLength value="50"/>
        </xsd:restriction>
      </xsd:simpleType>
    </xsd:element>
    <xsd:element name="BMS-Approver" ma:index="7" nillable="true" ma:displayName="BMS-Approver" ma:default="Unknown" ma:description="Indicates the role that has approval authority on this document." ma:internalName="BMS_x002d_Approver">
      <xsd:simpleType>
        <xsd:restriction base="dms:Text">
          <xsd:maxLength value="50"/>
        </xsd:restriction>
      </xsd:simpleType>
    </xsd:element>
    <xsd:element name="BMS-Reviewed" ma:index="8" nillable="true" ma:displayName="BMS-Reviewed" ma:default="[today]" ma:description="Date document was last reviewed." ma:format="DateOnly" ma:internalName="BMS_x002d_Reviewed">
      <xsd:simpleType>
        <xsd:restriction base="dms:DateTime"/>
      </xsd:simpleType>
    </xsd:element>
    <xsd:element name="BMS-ReviewInterval" ma:index="9" nillable="true" ma:displayName="BMS-ReviewInterval" ma:decimals="0" ma:default="12" ma:description="Number of months between review for the related document." ma:internalName="BMS_x002d_ReviewInterval" ma:percentage="FALSE">
      <xsd:simpleType>
        <xsd:restriction base="dms:Number">
          <xsd:maxInclusive value="24"/>
          <xsd:minInclusive value="1"/>
        </xsd:restriction>
      </xsd:simpleType>
    </xsd:element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6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7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89c48-b1a3-40aa-b63b-9fe81b9f94a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5b0e3-cb7d-4de3-a368-f404dfec2f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6F93B-751D-4A7D-9A12-27B5B0008460}">
  <ds:schemaRefs>
    <ds:schemaRef ds:uri="http://schemas.microsoft.com/office/2006/metadata/properties"/>
    <ds:schemaRef ds:uri="http://schemas.microsoft.com/office/infopath/2007/PartnerControls"/>
    <ds:schemaRef ds:uri="070b2c22-0464-4912-acf9-14244d9bca1e"/>
  </ds:schemaRefs>
</ds:datastoreItem>
</file>

<file path=customXml/itemProps2.xml><?xml version="1.0" encoding="utf-8"?>
<ds:datastoreItem xmlns:ds="http://schemas.openxmlformats.org/officeDocument/2006/customXml" ds:itemID="{2297DF12-A7E9-4DF2-B576-EBD0229436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EBC9B-8E5F-4CB8-AB2D-339E25414DF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210F1C8-7FFF-4688-87FC-E99BEA86F86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F223150-BF68-4F50-906E-CEA508058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b2c22-0464-4912-acf9-14244d9bca1e"/>
    <ds:schemaRef ds:uri="http://schemas.microsoft.com/sharepoint/v3"/>
    <ds:schemaRef ds:uri="53c89c48-b1a3-40aa-b63b-9fe81b9f94ae"/>
    <ds:schemaRef ds:uri="d505b0e3-cb7d-4de3-a368-f404dfec2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12406C0-B4D4-4E37-A130-C793A67E1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Retention of Records (Tier 2)</vt:lpstr>
    </vt:vector>
  </TitlesOfParts>
  <LinksUpToDate>false</LinksUpToDate>
  <CharactersWithSpaces>9861</CharactersWithSpaces>
  <SharedDoc>false</SharedDoc>
  <HLinks>
    <vt:vector size="6" baseType="variant">
      <vt:variant>
        <vt:i4>3670125</vt:i4>
      </vt:variant>
      <vt:variant>
        <vt:i4>27</vt:i4>
      </vt:variant>
      <vt:variant>
        <vt:i4>0</vt:i4>
      </vt:variant>
      <vt:variant>
        <vt:i4>5</vt:i4>
      </vt:variant>
      <vt:variant>
        <vt:lpwstr>http://www.itgovernance.co.uk/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Retention of Records (Tier 2)</dc:title>
  <dc:creator/>
  <cp:lastModifiedBy/>
  <cp:revision>1</cp:revision>
  <dcterms:created xsi:type="dcterms:W3CDTF">2020-09-18T11:09:00Z</dcterms:created>
  <dcterms:modified xsi:type="dcterms:W3CDTF">2020-09-18T11:16:00Z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0x0101000B1B1200EB32FD4F9D5CA4BF31A20D5A007159CFA7A9C97B4BA3AFF7E7594D5E09</vt:lpwstr>
  </property>
  <property fmtid="{D5CDD505-2E9C-101B-9397-08002B2CF9AE}" pid="3" name="_dlc_policyId">
    <vt:lpwstr/>
  </property>
  <property fmtid="{D5CDD505-2E9C-101B-9397-08002B2CF9AE}" pid="4" name="ItemRetentionFormula">
    <vt:lpwstr/>
  </property>
</Properties>
</file>